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F71" w:rsidRDefault="006B4CCA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臺北市立萬芳高級中學(國中部)</w:t>
      </w:r>
      <w:r>
        <w:rPr>
          <w:rFonts w:ascii="Times New Roman" w:eastAsia="Times New Roman" w:hAnsi="Times New Roman"/>
          <w:color w:val="000000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p w:rsidR="007E0F71" w:rsidRDefault="007E0F71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a"/>
        <w:tblW w:w="1998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2126"/>
        <w:gridCol w:w="2994"/>
        <w:gridCol w:w="3402"/>
        <w:gridCol w:w="709"/>
        <w:gridCol w:w="2693"/>
        <w:gridCol w:w="1559"/>
        <w:gridCol w:w="2305"/>
        <w:gridCol w:w="2781"/>
      </w:tblGrid>
      <w:tr w:rsidR="007E0F71" w:rsidTr="00AF4D79">
        <w:trPr>
          <w:trHeight w:val="62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6B4CC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7E0F71" w:rsidRDefault="006B4CCA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7E0F71" w:rsidRDefault="006B4CCA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■健康與體育(■健康教育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7E0F71" w:rsidTr="00AF4D79">
        <w:trPr>
          <w:trHeight w:val="62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6B4CC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spacing w:line="396" w:lineRule="auto"/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</w:rPr>
              <w:t>7年級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7E0F71" w:rsidRDefault="006B4CCA">
            <w:pPr>
              <w:spacing w:line="396" w:lineRule="auto"/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7E0F71" w:rsidTr="00AF4D79">
        <w:trPr>
          <w:trHeight w:val="62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6B4CC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■選用教科書:康軒版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9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學期內每週  1  節</w:t>
            </w:r>
          </w:p>
        </w:tc>
      </w:tr>
      <w:tr w:rsidR="007E0F71" w:rsidTr="00AF4D79">
        <w:trPr>
          <w:trHeight w:val="323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6B4CC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健體-J-A1 具備體育與健康的知能與態度，展現自我運動與保 健潛能，探索人性、自我價值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與生命意義，並積極實踐，不輕言放棄。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健體-J-A2 具備理解體育與 健康情境的全貌，並做獨立思考與分析的知能，進而運用適當的策略，處理與解決體 育與健康的問題。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健體-J-A3 具備善用體育與 健康的資源，以擬定運動與保健計畫，有效執行並發揮主動學習與創新求變的能力。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健體-J-B1 具備情意表達的能力，能以同理心與人溝通互動，並理解體育與保健的基本概念，應用於日常生活中。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健體-J-B2 具備善用體育與 健康相關的科技、資訊及媒體， 以增進學習的素養，並察覺、思辨人與科技、資訊、媒體的互動關係。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健體-J-B3 具備審美與表現的能力，了解運動與健康在美學上的特質與表現方式，以增進生活中 的豐富性與美感 體驗。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健體-J-C1 具備生活中有關 運動與健康的道德思辨與實踐能 力及環境意識，並主動參與公益團體活動，關懷社會。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健體-J-C2 具備利他及合群的知能與態度，並在體育活動和健康生活中培育相 互合作及與人和諧互動的素養。</w:t>
            </w:r>
          </w:p>
          <w:p w:rsidR="007E0F71" w:rsidRDefault="006B4CCA">
            <w:pPr>
              <w:jc w:val="both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健體-J-C3 具備敏察和接納多元文化的涵養，關心本土與國際體育與健康議題，並尊重與欣賞其間的差異。</w:t>
            </w:r>
          </w:p>
        </w:tc>
      </w:tr>
      <w:tr w:rsidR="007E0F71" w:rsidTr="00AF4D79">
        <w:trPr>
          <w:trHeight w:val="268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6B4C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上學期：</w:t>
            </w:r>
          </w:p>
          <w:p w:rsidR="007E0F71" w:rsidRDefault="006B4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認識青少年婚前性行為、約會強暴、墮胎等的責任與後果。</w:t>
            </w:r>
          </w:p>
          <w:p w:rsidR="007E0F71" w:rsidRDefault="006B4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了解法律對性的規範，避免性危害的發生。</w:t>
            </w:r>
          </w:p>
          <w:p w:rsidR="007E0F71" w:rsidRDefault="006B4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培養安全性行為的態度，並能在未來真正對性與愛負責任。</w:t>
            </w:r>
          </w:p>
          <w:p w:rsidR="007E0F71" w:rsidRDefault="006B4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認識性病的傳染途徑及對個人健康與社會的威脅。</w:t>
            </w:r>
          </w:p>
          <w:p w:rsidR="007E0F71" w:rsidRDefault="006B4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培養從事安全性行為的態度，並能在未來從事安全性行為，以避免性病的感染。。</w:t>
            </w:r>
          </w:p>
          <w:p w:rsidR="007E0F71" w:rsidRDefault="006B4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建立分辨毒害的能力。</w:t>
            </w:r>
          </w:p>
          <w:p w:rsidR="007E0F71" w:rsidRDefault="006B4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了解藥物濫用定義與毒品對個人生理、心理、社會等層面健康所造成之衝擊。</w:t>
            </w:r>
          </w:p>
          <w:p w:rsidR="007E0F71" w:rsidRDefault="006B4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認識生活上常見的誘毒情境中展現毒品拒絕拒巧，培養個人的拒毒能力。</w:t>
            </w:r>
          </w:p>
          <w:p w:rsidR="007E0F71" w:rsidRDefault="006B4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運用課程內容，展現個人宣示反毒理念之能力。</w:t>
            </w:r>
          </w:p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下學期：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1.了解生命如何形成，及孕婦生、心理的變化，學習健康照護與尊重。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2.認識人生各階段的不同歷程與挑戰，並學習解決方式。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3.了解「老」是人生歷程，學習陪伴長者建立樂活的老年生活。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4.了解癌症、糖尿病介紹與預防。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5.了解高血壓、腦中風、冠心病、腎臟病介紹與預防。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6.學習患者與照顧者的身心調適與生活調整。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7.學習包紮技巧及傷口照護，正確使用適合的急救方法。</w:t>
            </w:r>
          </w:p>
          <w:p w:rsidR="007E0F71" w:rsidRDefault="006B4CCA">
            <w:pPr>
              <w:jc w:val="both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8.學習心肺復甦術(CPR)、自動體外心臟電擊去顫器(AED)操作步驟。</w:t>
            </w:r>
          </w:p>
        </w:tc>
      </w:tr>
      <w:tr w:rsidR="007E0F71" w:rsidTr="00AF4D79">
        <w:trPr>
          <w:trHeight w:val="567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6B4CC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7E0F71" w:rsidRDefault="006B4CCA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5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7E0F71" w:rsidRDefault="006B4CCA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7E0F71" w:rsidTr="00AF4D79">
        <w:trPr>
          <w:trHeight w:val="78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63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691E5A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0"/>
                <w:id w:val="545801992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</w:p>
          <w:p w:rsidR="007E0F71" w:rsidRDefault="00691E5A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"/>
                <w:id w:val="1233741174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color w:val="000000"/>
                  </w:rPr>
                  <w:t>一</w:t>
                </w:r>
              </w:sdtContent>
            </w:sdt>
          </w:p>
          <w:p w:rsidR="007E0F71" w:rsidRDefault="00691E5A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2"/>
                <w:id w:val="-1322494196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color w:val="000000"/>
                  </w:rPr>
                  <w:t>學</w:t>
                </w:r>
              </w:sdtContent>
            </w:sdt>
          </w:p>
          <w:p w:rsidR="007E0F71" w:rsidRDefault="00691E5A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3"/>
                <w:id w:val="-883105696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color w:val="000000"/>
                  </w:rPr>
                  <w:t>期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bookmarkStart w:id="2" w:name="_GoBack"/>
            <w:bookmarkEnd w:id="2"/>
            <w:r>
              <w:rPr>
                <w:rFonts w:ascii="標楷體" w:eastAsia="標楷體" w:hAnsi="標楷體" w:cs="標楷體"/>
                <w:sz w:val="22"/>
                <w:szCs w:val="22"/>
              </w:rPr>
              <w:t>1週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課程說明</w:t>
            </w:r>
          </w:p>
          <w:p w:rsidR="007E0F71" w:rsidRDefault="00691E5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sdt>
              <w:sdtPr>
                <w:tag w:val="goog_rdk_4"/>
                <w:id w:val="691576646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sz w:val="22"/>
                    <w:szCs w:val="22"/>
                  </w:rPr>
                  <w:t>彩繪兩性關係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1a-IV-4:理解促進健康生活的策略與資源規範。</w:t>
            </w:r>
          </w:p>
          <w:p w:rsidR="007E0F71" w:rsidRDefault="006B4CC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1b-IV-2:認識健康技能和生活技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能的實施程序概念。</w:t>
            </w:r>
          </w:p>
          <w:p w:rsidR="007E0F71" w:rsidRDefault="006B4CC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2b-IV-1:堅守健康的生活規範、態度與價值觀。</w:t>
            </w:r>
          </w:p>
          <w:p w:rsidR="007E0F71" w:rsidRDefault="006B4CC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3b-IV-3:熟悉大部份的「決策與批判」技能。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Db-IV-2:青春期身心變化的調適與性衝動健康因應的策略。</w:t>
            </w:r>
          </w:p>
          <w:p w:rsidR="007E0F71" w:rsidRDefault="006B4CC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Db-IV-6:青少年性行為之法律規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範與抉擇的思考。</w:t>
            </w:r>
          </w:p>
          <w:p w:rsidR="007E0F71" w:rsidRDefault="006B4CC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Db-IV-7:健康性價值觀的建立，性與色情的辨識與媒體色情訊息的拒絕。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1.口頭評量</w:t>
            </w:r>
          </w:p>
          <w:p w:rsidR="007E0F71" w:rsidRDefault="006B4CC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【性別平等教育】</w:t>
            </w:r>
          </w:p>
          <w:p w:rsidR="007E0F71" w:rsidRDefault="006B4CC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性J6:探究各種符號中的性別意涵及人際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溝通中的性別問題。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6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第2-4週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91E5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sdt>
              <w:sdtPr>
                <w:tag w:val="goog_rdk_5"/>
                <w:id w:val="-1500570021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彩繪兩性關係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1a-IV-4:理解促進健康生活的策略與資源規範。</w:t>
            </w:r>
          </w:p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1b-IV-2:認識健康技能和生活技能的實施程序概念。</w:t>
            </w:r>
          </w:p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2b-IV-1:堅守健康的生活規範、態度與價值觀。</w:t>
            </w:r>
          </w:p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3b-IV-3:熟悉大部份的「決策與批判」技能。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Db-IV-2:青春期身心變化的調適與性衝動健康因應的策略。</w:t>
            </w:r>
          </w:p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Db-IV-6:青少年性行為之法律規範與抉擇的思考。</w:t>
            </w:r>
          </w:p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Db-IV-7:健康性價值觀的建立，性與色情的辨識與媒體色情訊息的拒絕。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【性別平等教育】</w:t>
            </w:r>
          </w:p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性J6:探究各種符號中的性別意涵及人際溝通中的性別問題。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6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第5-7週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91E5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sdt>
              <w:sdtPr>
                <w:tag w:val="goog_rdk_6"/>
                <w:id w:val="-528020959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青春變奏曲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1b-IV-3:因應生活情境的健康需求，尋求解決的健康技能和生活技能。</w:t>
            </w:r>
          </w:p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2a-Ⅳ-2:自主思考健康問題所造成的威脅感與嚴重性。</w:t>
            </w:r>
          </w:p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3b-Ⅳ-2:熟悉各種人際溝通互動技能。</w:t>
            </w:r>
          </w:p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3b-Ⅳ-4:因應不同的生活情境，善用各種生活技能，解決健康問題。</w:t>
            </w:r>
          </w:p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4a-Ⅳ-2:自我監督、增強個人促進健康的行動，並反省修正。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Db-Ⅳ-5:身體自主權維護的立場表達與行動，以及交友約會安全策略。</w:t>
            </w:r>
          </w:p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Db-Ⅳ-7:健康性價值觀的建立，色情的辨識與媒體色情訊息的批判能力。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【性別平等教育】</w:t>
            </w:r>
          </w:p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性J5:辨識性騷擾、性侵害與性霸凌的樣態，運用資源解決問題。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6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第8-10週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91E5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sdt>
              <w:sdtPr>
                <w:tag w:val="goog_rdk_7"/>
                <w:id w:val="-608438855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健康的愛、安全的性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1a-IV-3:評估內在與外在的行為對健康造成的衝擊與風險。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2a-IV-2:自主思考健康問題所造成的威脅感與嚴重性。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4b-IV-3:公開進行健康倡導，展現對他人促進健康或行為的影響力。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Db-IV-8:愛滋病及其它性病的預防方法與關懷。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【人權教育】</w:t>
            </w:r>
          </w:p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人J6:正視社會中的各種歧視，並採取行動來關懷與保護弱勢。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6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第11-12週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91E5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sdt>
              <w:sdtPr>
                <w:tag w:val="goog_rdk_8"/>
                <w:id w:val="515657846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致命的迷幻世界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1a-Ⅳ-3:評估內在與外在的行為對健康造成的衝擊與風險。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2a-Ⅳ-2:自主思考健康問題所造成的威脅感與嚴重性。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3b-Ⅳ-2:熟悉各種人際溝通互動技能。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4b-Ⅳ-2:使用精確的資訊來支持自己健康促進的立場。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Aa-Ⅳ-1:生長發育的自我評估與因應策略。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Bb-Ⅳ-5:拒絕成癮物質的自主行動與支持性規範、戒治資源。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【品德教育】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品J2:重視群體規範與榮譽。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【法治教育】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法J3:認識法律之意義與制定。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6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第13週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91E5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sdt>
              <w:sdtPr>
                <w:tag w:val="goog_rdk_9"/>
                <w:id w:val="78335160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sz w:val="22"/>
                    <w:szCs w:val="22"/>
                  </w:rPr>
                  <w:t>致命的迷幻世界(</w:t>
                </w:r>
              </w:sdtContent>
            </w:sdt>
            <w:r w:rsidR="006B4CCA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第二次定期考查)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1a-Ⅳ-3:評估內在與外在的行為對健康造成的衝擊與風險。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2a-Ⅳ-2:自主思考健康問題所造成的威脅感與嚴重性。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3b-Ⅳ-2:熟悉各種人際溝通互動技能。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4b-Ⅳ-2:使用精確的資訊來支持自己健康促進的立場。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Aa-Ⅳ-1:生長發育的自我評估與因應策略。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Bb-Ⅳ-5:拒絕成癮物質的自主行動與支持性規範、戒治資源。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1.口頭評量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【品德教育】</w:t>
            </w:r>
          </w:p>
          <w:p w:rsidR="007E0F71" w:rsidRDefault="006B4CC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品J2:重視群體規範與榮譽。</w:t>
            </w:r>
          </w:p>
          <w:p w:rsidR="007E0F71" w:rsidRDefault="006B4CC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【法治教育】</w:t>
            </w:r>
          </w:p>
          <w:p w:rsidR="007E0F71" w:rsidRDefault="006B4CC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法J3:認識法律之意義與制定。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6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第14-16週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91E5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sdt>
              <w:sdtPr>
                <w:tag w:val="goog_rdk_10"/>
                <w:id w:val="2072149759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致命的迷幻世界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1a-Ⅳ-3:評估內在與外在的行為對健康造成的衝擊與風險。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2a-Ⅳ-2:自主思考健康問題所造成的威脅感與嚴重性。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3b-Ⅳ-2:熟悉各種人際溝通互動技能。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4b-Ⅳ-2:使用精確的資訊來支持自己健康促進的立場。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Aa-Ⅳ-1:生長發育的自我評估與因應策略。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Bb-Ⅳ-5:拒絕成癮物質的自主行動與支持性規範、戒治資源。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【品德教育】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品J2:重視群體規範與榮譽。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【法治教育】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法J3:認識法律之意義與制定。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6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第17-19週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成為毒害絕緣體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1b-Ⅳ-2:認識健康技能和生活技能的實施程序概念。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2a-Ⅳ-2:自主思考健康問題所造成的威脅感與嚴重性。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4b-Ⅳ-3:公開進行健康倡導，展現對他人促進健康的信念或行為的影響力。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Bb-Ⅳ-3:菸、酒、檳榔、藥物的成分與成癮性，以及對個人身心健康與家庭、社會的影響。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Bb-Ⅳ-4:面對成癮物質的拒絕技巧與自我控制。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【生涯規劃教育】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涯J6:建立對於未來生涯的願景。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720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第20週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成為毒害絕緣體(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第三次定期考查)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1b-Ⅳ-2:認識健康技能和生活技能的實施程序概念。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2a-Ⅳ-2:自主思考健康問題所造成的威脅感與嚴重性。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4b-Ⅳ-3:公開進行健康倡導，展現對他人促進健康的信念或行為的影響力。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Bb-Ⅳ-3:菸、酒、檳榔、藥物的成分與成癮性，以及對個人身心健康與家庭、社會的影響。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Bb-Ⅳ-4:面對成癮物質的拒絕技巧與自我控制。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1.口頭評量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【生涯規劃教育】</w:t>
            </w:r>
          </w:p>
          <w:p w:rsidR="007E0F71" w:rsidRDefault="006B4CC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涯J6:建立對於未來生涯的願景。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09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691E5A">
            <w:pPr>
              <w:spacing w:line="39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1"/>
                <w:id w:val="1769355503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</w:p>
          <w:p w:rsidR="007E0F71" w:rsidRDefault="00691E5A">
            <w:pPr>
              <w:spacing w:line="39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2"/>
                <w:id w:val="-1965957590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color w:val="000000"/>
                  </w:rPr>
                  <w:t>二</w:t>
                </w:r>
              </w:sdtContent>
            </w:sdt>
          </w:p>
          <w:p w:rsidR="007E0F71" w:rsidRDefault="00691E5A">
            <w:pPr>
              <w:spacing w:line="39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3"/>
                <w:id w:val="1687863057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color w:val="000000"/>
                  </w:rPr>
                  <w:t>學</w:t>
                </w:r>
              </w:sdtContent>
            </w:sdt>
          </w:p>
          <w:p w:rsidR="007E0F71" w:rsidRDefault="00691E5A">
            <w:pPr>
              <w:spacing w:line="396" w:lineRule="auto"/>
              <w:jc w:val="center"/>
            </w:pPr>
            <w:sdt>
              <w:sdtPr>
                <w:tag w:val="goog_rdk_14"/>
                <w:id w:val="1324395044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color w:val="000000"/>
                  </w:rPr>
                  <w:t>期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課程說明</w:t>
            </w:r>
          </w:p>
          <w:p w:rsidR="007E0F71" w:rsidRDefault="00691E5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sdt>
              <w:sdtPr>
                <w:tag w:val="goog_rdk_15"/>
                <w:id w:val="-1774313090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sz w:val="22"/>
                    <w:szCs w:val="22"/>
                  </w:rPr>
                  <w:t>美妙的生命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1a-Ⅳ-3:評估內在與外在的行為對健康造成的衝擊與風險。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2a-Ⅳ-2:自主思考健康問題所造成的威脅感與嚴重性。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2a-Ⅳ-3:深切體會健康行動的自覺利益與障礙。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Aa-Ⅳ-2:人生各階段的身心發展任務與個別差異。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Db-Ⅳ-1:生殖器官的構造、功能與保健及懷孕生理、優生保健。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Fb-Ⅳ-5:全民健保與醫療制度、醫療服務與資源。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1.口頭評量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【人權教育】</w:t>
            </w:r>
          </w:p>
          <w:p w:rsidR="007E0F71" w:rsidRDefault="006B4CC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人J6:正視社會中的各種歧視，並採取行動來關懷與保護弱勢。</w:t>
            </w:r>
          </w:p>
          <w:p w:rsidR="007E0F71" w:rsidRDefault="006B4CC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人J9:認識教育權、工作權與個人生涯發展的關係。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9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第2-4週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91E5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sdt>
              <w:sdtPr>
                <w:tag w:val="goog_rdk_16"/>
                <w:id w:val="715398996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sz w:val="22"/>
                    <w:szCs w:val="22"/>
                  </w:rPr>
                  <w:t>美妙的生命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1a-Ⅳ-3:評估內在與外在的行為對健康造成的衝擊與風險。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2a-Ⅳ-2:自主思考健康問題所造成的威脅感與嚴重性。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2a-Ⅳ-3:深切體會健康行動的自覺利益與障礙。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Aa-Ⅳ-2:人生各階段的身心發展任務與個別差異。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Db-Ⅳ-1:生殖器官的構造、功能與保健及懷孕生理、優生保健。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Fb-Ⅳ-5:全民健保與醫療制度、醫療服務與資源。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【人權教育】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人J6:正視社會中的各種歧視，並採取行動來關懷與保護弱勢。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人J9:認識教育權、工作權與個人生涯發展的關係。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9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第5-7週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91E5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sdt>
              <w:sdtPr>
                <w:tag w:val="goog_rdk_17"/>
                <w:id w:val="806292552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sz w:val="22"/>
                    <w:szCs w:val="22"/>
                  </w:rPr>
                  <w:t>生命的軌跡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1a-Ⅳ-1:理解生理、心理與社會各層面健康的概念。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1a-Ⅳ-4:理解促進健康生活的策略、資源與規範。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2b-Ⅳ-1:堅守健康的生活規範、態度與價值觀。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2b-Ⅳ-3:充分地肯定自我健康行動的信心與效能感。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3b-Ⅳ-3:熟悉大部份的決策與批判技能。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Aa-Ⅳ-2:人生各階段的身心發展任務與個別差異。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【生命教育】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9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第8週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91E5A">
            <w:pPr>
              <w:jc w:val="both"/>
              <w:rPr>
                <w:sz w:val="22"/>
                <w:szCs w:val="22"/>
              </w:rPr>
            </w:pPr>
            <w:sdt>
              <w:sdtPr>
                <w:tag w:val="goog_rdk_18"/>
                <w:id w:val="1767966348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sz w:val="22"/>
                    <w:szCs w:val="22"/>
                  </w:rPr>
                  <w:t>伴生命共老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1a-Ⅳ-1:理解生理、心理與社會各層面健康的概念。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1a-Ⅳ-2:分析個人與群體健康的影響因素。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2b-Ⅳ-2:樂於實踐健康促進的生活型態。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2b-Ⅳ-3:充分地肯定自我健康行動的信心與效能感。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3b-Ⅳ-2:熟悉各種人際溝通互動技能。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4a-Ⅳ-3:持續地執行促進健康及減少健康風險的行為。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Aa-Ⅳ-3:老化與死亡的意義與自我調適。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Fb-Ⅳ-1:全人健康概念與健康生活型態。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【生命教育】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生J3:反思生老病死與人生無常的現象，探索人生的目的、價值與意義。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9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第9-10週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健康人生，少「糖」少「癌」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1a-Ⅳ-2:分析個人與群體健康的影響因素。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2a-Ⅳ-2:自主思考健康問題所造成的威脅感與嚴重性。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3a-Ⅳ-2:因應不同的生活情境進行調適並修正，持續表現健康技能。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4a-Ⅳ-3:持續地執行促進健康及減少健康風險的行動。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Fb-Ⅳ-2:健康狀態影響因素分析與不同性別者平均餘命健康指標的改善策略。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Fb-Ⅳ-4:新興傳染病與慢性病的防治策略。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【生命教育】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9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第11-12週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小心謹「腎」，「慢」不經「心」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1a-Ⅳ-2:分析個人與群體健康的影響因素。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2a-Ⅳ-2:自主思考健康問題所造成的威脅感與嚴重性。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3a-Ⅳ-2:因應不同的生活情境進行調適並修正，持續表現健康技能。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4a-Ⅳ-3:持續地執行促進健康及減少健康風險的行動。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Da-Ⅳ-2:身體各系統、器官的構造與功能。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Fb-Ⅳ-4:新興傳染病與慢性病的防治策略。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【生命教育】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7E0F71" w:rsidRDefault="007E0F71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9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第13週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小心謹「腎」，「慢」不經「心」(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第二次定期考查)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1a-Ⅳ-2:分析個人與群體健康的影響因素。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2a-Ⅳ-2:自主思考健康問題所造成的威脅感與嚴重性。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3a-Ⅳ-2:因應不同的生活情境進行調適並修正，持續表現健康技能。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4a-Ⅳ-3:持續地執行促進健康及減少健康風險的行動。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Da-Ⅳ-2:身體各系統、器官的構造與功能。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Fb-Ⅳ-4:新興傳染病與慢性病的防治策略。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1.口頭評量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2.紙筆評量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【生命教育】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7E0F71" w:rsidRDefault="007E0F71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9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第14-16週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91E5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sdt>
              <w:sdtPr>
                <w:tag w:val="goog_rdk_19"/>
                <w:id w:val="2119870874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sz w:val="22"/>
                    <w:szCs w:val="22"/>
                  </w:rPr>
                  <w:t>安全百分百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1b-Ⅳ-2:認識健康技能和生活技能的實施程序概念。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1b-Ⅳ-3:因應生活情境的健康需求，尋求解決的健康技能和生活技能。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2a-Ⅳ-3:深切體會健康行動的自覺利益與障礙。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2b-Ⅳ-3:充分地肯定自我健康行動的信心與效能感。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3a-Ⅳ-1:精熟地操作健康技能。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Ba-Ⅳ-3:緊急情境處理與止血、包紮、CPR、復甦姿勢急救技術。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3.技能評量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【安全教育】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安J11:學習創傷救護技能。</w:t>
            </w:r>
          </w:p>
          <w:p w:rsidR="007E0F71" w:rsidRDefault="007E0F71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9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第17-19週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91E5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sdt>
              <w:sdtPr>
                <w:tag w:val="goog_rdk_20"/>
                <w:id w:val="-597792414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sz w:val="22"/>
                    <w:szCs w:val="22"/>
                  </w:rPr>
                  <w:t>急救一瞬間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1b-Ⅳ-2:認識健康技能和生活技能的實施程序概念。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1b-Ⅳ-3:因應生活情境的健康需求，尋求解決的健康技能和生活技能。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2a-Ⅳ-3:深切體會健康行動的自覺利益與障礙。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2b-Ⅳ-3:充分地肯定自我健康行動的信心與效能感。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3a-Ⅳ-1:精熟地操作健康技能。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Ba-Ⅳ-3:緊急情境處理與止血、包紮、CPR、復甦姿勢急救技術。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1.口頭評量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2.紙筆評量</w:t>
            </w:r>
          </w:p>
          <w:p w:rsidR="007E0F71" w:rsidRDefault="006B4C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3.技能評量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【安全教育】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安J10:學習心肺復甦術及AED的操作。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22569">
        <w:trPr>
          <w:trHeight w:val="39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7E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第20週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91E5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sdt>
              <w:sdtPr>
                <w:tag w:val="goog_rdk_21"/>
                <w:id w:val="834352440"/>
              </w:sdtPr>
              <w:sdtEndPr/>
              <w:sdtContent>
                <w:r w:rsidR="006B4CCA">
                  <w:rPr>
                    <w:rFonts w:ascii="Gungsuh" w:eastAsia="Gungsuh" w:hAnsi="Gungsuh" w:cs="Gungsuh"/>
                    <w:sz w:val="22"/>
                    <w:szCs w:val="22"/>
                  </w:rPr>
                  <w:t>急救一瞬間(</w:t>
                </w:r>
              </w:sdtContent>
            </w:sdt>
            <w:r w:rsidR="006B4CCA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第三次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定期考查)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1b-Ⅳ-2:認識健康技能和生活技能的實施程序概念。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1b-Ⅳ-3:因應生活情境的健康需求，尋求解決的健康技能和生活技能。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2a-Ⅳ-3:深切體會健康行動的自覺利益與障礙。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2b-Ⅳ-3:充分地肯定自我健康行動的信心與效能感。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3a-Ⅳ-1:精熟地操作健康技能。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Ba-Ⅳ-3:緊急情境處理與止血、包紮、CPR、復甦姿勢急救技術。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1.口頭評量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2.紙筆評量</w:t>
            </w:r>
          </w:p>
          <w:p w:rsidR="007E0F71" w:rsidRDefault="006B4CCA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3.技能評量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【安全教育】</w:t>
            </w:r>
          </w:p>
          <w:p w:rsidR="007E0F71" w:rsidRDefault="006B4CCA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安J10:學習心肺復甦術及AED的操作。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0F71" w:rsidTr="00AF4D79">
        <w:trPr>
          <w:trHeight w:val="7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6B4CCA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7E0F71" w:rsidRDefault="006B4CCA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6B4CC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PPT、單槍投影機</w:t>
            </w:r>
          </w:p>
        </w:tc>
      </w:tr>
      <w:tr w:rsidR="007E0F71" w:rsidTr="00AF4D79">
        <w:trPr>
          <w:trHeight w:val="7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F71" w:rsidRDefault="006B4CCA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   註</w:t>
            </w:r>
          </w:p>
        </w:tc>
        <w:tc>
          <w:tcPr>
            <w:tcW w:w="1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71" w:rsidRDefault="007E0F7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7E0F71" w:rsidRDefault="007E0F71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/>
          <w:color w:val="000000"/>
        </w:rPr>
      </w:pPr>
      <w:bookmarkStart w:id="3" w:name="_heading=h.1fob9te" w:colFirst="0" w:colLast="0"/>
      <w:bookmarkEnd w:id="3"/>
    </w:p>
    <w:p w:rsidR="007E0F71" w:rsidRDefault="007E0F71">
      <w:pPr>
        <w:widowControl/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:rsidR="007E0F71" w:rsidRDefault="007E0F71"/>
    <w:sectPr w:rsidR="007E0F71" w:rsidSect="00AF4D79">
      <w:pgSz w:w="23811" w:h="16838" w:orient="landscape" w:code="8"/>
      <w:pgMar w:top="567" w:right="567" w:bottom="567" w:left="567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E5A" w:rsidRDefault="00691E5A" w:rsidP="00AF4D79">
      <w:r>
        <w:separator/>
      </w:r>
    </w:p>
  </w:endnote>
  <w:endnote w:type="continuationSeparator" w:id="0">
    <w:p w:rsidR="00691E5A" w:rsidRDefault="00691E5A" w:rsidP="00AF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E5A" w:rsidRDefault="00691E5A" w:rsidP="00AF4D79">
      <w:r>
        <w:separator/>
      </w:r>
    </w:p>
  </w:footnote>
  <w:footnote w:type="continuationSeparator" w:id="0">
    <w:p w:rsidR="00691E5A" w:rsidRDefault="00691E5A" w:rsidP="00AF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757E8"/>
    <w:multiLevelType w:val="multilevel"/>
    <w:tmpl w:val="749AD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71"/>
    <w:rsid w:val="003C50FB"/>
    <w:rsid w:val="00691E5A"/>
    <w:rsid w:val="006B4CCA"/>
    <w:rsid w:val="007E0F71"/>
    <w:rsid w:val="00A22569"/>
    <w:rsid w:val="00A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A919A3-2C85-45AD-BE62-8B57BA5E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D5A31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0D5A31"/>
    <w:pPr>
      <w:ind w:left="480"/>
    </w:pPr>
    <w:rPr>
      <w:rFonts w:ascii="Times New Roman" w:hAnsi="Times New Roman"/>
    </w:rPr>
  </w:style>
  <w:style w:type="paragraph" w:customStyle="1" w:styleId="10">
    <w:name w:val="內文1"/>
    <w:rsid w:val="000D5A31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1">
    <w:name w:val="預設段落字型1"/>
    <w:rsid w:val="000D5A31"/>
  </w:style>
  <w:style w:type="paragraph" w:styleId="a5">
    <w:name w:val="header"/>
    <w:basedOn w:val="a"/>
    <w:link w:val="a6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5012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5012DA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Cg1wXECcQOvkZEurK9d41PqwMA==">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實研組長</cp:lastModifiedBy>
  <cp:revision>3</cp:revision>
  <dcterms:created xsi:type="dcterms:W3CDTF">2022-05-31T06:07:00Z</dcterms:created>
  <dcterms:modified xsi:type="dcterms:W3CDTF">2022-05-31T23:32:00Z</dcterms:modified>
</cp:coreProperties>
</file>