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A8" w:rsidRPr="00D94E9F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標楷體"/>
          <w:color w:val="000000"/>
        </w:rPr>
      </w:pPr>
      <w:bookmarkStart w:id="0" w:name="_heading=h.30j0zll" w:colFirst="0" w:colLast="0"/>
      <w:bookmarkEnd w:id="0"/>
      <w:r w:rsidRPr="00D94E9F">
        <w:rPr>
          <w:rFonts w:ascii="標楷體" w:eastAsia="標楷體" w:hAnsi="標楷體" w:cs="標楷體"/>
          <w:color w:val="000000"/>
        </w:rPr>
        <w:t xml:space="preserve">臺北市立 </w:t>
      </w:r>
      <w:r w:rsidR="00E639D3" w:rsidRPr="00D94E9F">
        <w:rPr>
          <w:rFonts w:ascii="標楷體" w:eastAsia="標楷體" w:hAnsi="標楷體" w:cs="標楷體" w:hint="eastAsia"/>
          <w:color w:val="000000"/>
        </w:rPr>
        <w:t>萬芳高中</w:t>
      </w:r>
      <w:r w:rsidRPr="00D94E9F">
        <w:rPr>
          <w:rFonts w:ascii="標楷體" w:eastAsia="標楷體" w:hAnsi="標楷體" w:cs="標楷體"/>
          <w:color w:val="000000"/>
        </w:rPr>
        <w:t xml:space="preserve"> 國民中學</w:t>
      </w:r>
      <w:r w:rsidR="00D813C1" w:rsidRPr="00D94E9F">
        <w:rPr>
          <w:rFonts w:ascii="標楷體" w:eastAsia="標楷體" w:hAnsi="標楷體" w:cs="標楷體" w:hint="eastAsia"/>
          <w:color w:val="000000"/>
        </w:rPr>
        <w:t>111</w:t>
      </w:r>
      <w:r w:rsidRPr="00D94E9F">
        <w:rPr>
          <w:rFonts w:ascii="標楷體" w:eastAsia="標楷體" w:hAnsi="標楷體" w:cs="標楷體"/>
          <w:color w:val="000000"/>
        </w:rPr>
        <w:t>學年度 彈性學習課程計畫</w:t>
      </w:r>
    </w:p>
    <w:tbl>
      <w:tblPr>
        <w:tblStyle w:val="afffff6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1416"/>
        <w:gridCol w:w="5665"/>
        <w:gridCol w:w="1217"/>
        <w:gridCol w:w="1214"/>
        <w:gridCol w:w="1614"/>
        <w:gridCol w:w="1974"/>
        <w:gridCol w:w="865"/>
        <w:gridCol w:w="5075"/>
      </w:tblGrid>
      <w:tr w:rsidR="00F676A8" w:rsidRPr="00D94E9F" w:rsidTr="00D813C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AD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閱世界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D94E9F" w:rsidRDefault="00E63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█</w:t>
            </w:r>
            <w:r w:rsidR="00775031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676A8" w:rsidRPr="00D94E9F" w:rsidTr="00D813C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D94E9F">
              <w:rPr>
                <w:rFonts w:ascii="標楷體" w:eastAsia="標楷體" w:hAnsi="標楷體" w:cs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 w:rsidRPr="00D94E9F"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AD6018" w:rsidRPr="00D94E9F">
              <w:rPr>
                <w:rFonts w:ascii="標楷體" w:eastAsia="標楷體" w:hAnsi="標楷體" w:cs="標楷體" w:hint="eastAsia"/>
                <w:color w:val="000000"/>
              </w:rPr>
              <w:t>█</w:t>
            </w:r>
            <w:r w:rsidRPr="00D94E9F">
              <w:rPr>
                <w:rFonts w:ascii="標楷體" w:eastAsia="標楷體" w:hAnsi="標楷體" w:cs="標楷體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676A8" w:rsidRPr="00D94E9F" w:rsidRDefault="00BA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█</w:t>
            </w:r>
            <w:r w:rsidR="00775031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█</w:t>
            </w:r>
            <w:r w:rsidR="00775031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每週 </w:t>
            </w:r>
            <w:r w:rsidR="00E639D3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</w:t>
            </w:r>
            <w:bookmarkStart w:id="1" w:name="_GoBack"/>
            <w:bookmarkEnd w:id="1"/>
          </w:p>
        </w:tc>
      </w:tr>
      <w:tr w:rsidR="00F676A8" w:rsidRPr="00D94E9F" w:rsidTr="000D467C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9D3" w:rsidRPr="00D94E9F" w:rsidRDefault="00E63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符應2030雙語國家政策，進行雙語教學與學習，期待學生能關懷他人與理解世界的公民。</w:t>
            </w:r>
          </w:p>
        </w:tc>
      </w:tr>
      <w:tr w:rsidR="00F676A8" w:rsidRPr="00D94E9F" w:rsidTr="000D467C">
        <w:trPr>
          <w:trHeight w:val="117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sdt>
            <w:sdt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g w:val="goog_rdk_9"/>
              <w:id w:val="908040278"/>
            </w:sdtPr>
            <w:sdtEndPr/>
            <w:sdtContent>
              <w:p w:rsidR="005747DD" w:rsidRPr="00D94E9F" w:rsidRDefault="00B9658C" w:rsidP="00B965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auto"/>
                  <w:rPr>
                    <w:rFonts w:ascii="標楷體" w:eastAsia="標楷體" w:hAnsi="標楷體" w:cs="標楷體"/>
                    <w:color w:val="000000"/>
                  </w:rPr>
                </w:pPr>
                <w:r w:rsidRPr="00D94E9F">
                  <w:rPr>
                    <w:rFonts w:ascii="標楷體" w:eastAsia="標楷體" w:hAnsi="標楷體" w:cs="標楷體" w:hint="eastAsia"/>
                    <w:color w:val="000000"/>
                  </w:rPr>
                  <w:t>國</w:t>
                </w:r>
                <w:r w:rsidRPr="00D94E9F">
                  <w:rPr>
                    <w:rFonts w:ascii="標楷體" w:eastAsia="標楷體" w:hAnsi="標楷體" w:cs="標楷體"/>
                    <w:color w:val="000000"/>
                  </w:rPr>
                  <w:t>J C1</w:t>
                </w:r>
                <w:r w:rsidRPr="00D94E9F">
                  <w:rPr>
                    <w:rFonts w:ascii="標楷體" w:eastAsia="標楷體" w:hAnsi="標楷體" w:cs="標楷體" w:hint="eastAsia"/>
                    <w:color w:val="000000"/>
                  </w:rPr>
                  <w:t>閱讀各類文本，從中培養道德觀、責任感、同理心，並能觀察生活環境，主動關懷社會，增進對公共議題的興趣。</w:t>
                </w:r>
              </w:p>
              <w:sdt>
                <w:sdtPr>
                  <w:rPr>
                    <w:rFonts w:ascii="標楷體" w:eastAsia="標楷體" w:hAnsi="標楷體" w:cs="標楷體"/>
                    <w:color w:val="000000"/>
                    <w:kern w:val="0"/>
                    <w:szCs w:val="24"/>
                  </w:rPr>
                  <w:tag w:val="goog_rdk_11"/>
                  <w:id w:val="-1990548769"/>
                </w:sdtPr>
                <w:sdtEndPr/>
                <w:sdtContent>
                  <w:p w:rsidR="005747DD" w:rsidRPr="00D94E9F" w:rsidRDefault="007B4817" w:rsidP="00574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400" w:lineRule="auto"/>
                      <w:jc w:val="both"/>
                      <w:rPr>
                        <w:rFonts w:ascii="標楷體" w:eastAsia="標楷體" w:hAnsi="標楷體" w:cs="標楷體"/>
                        <w:color w:val="000000"/>
                      </w:rPr>
                    </w:pPr>
                    <w:r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校</w:t>
                    </w:r>
                    <w:r w:rsidR="005747DD" w:rsidRPr="00D94E9F">
                      <w:rPr>
                        <w:rFonts w:ascii="標楷體" w:eastAsia="標楷體" w:hAnsi="標楷體" w:cs="標楷體"/>
                        <w:color w:val="000000"/>
                      </w:rPr>
                      <w:t>3-2-1</w:t>
                    </w:r>
                    <w:r w:rsidR="005747DD"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能了解在地文化，並關注國際局勢與全球議題。</w:t>
                    </w:r>
                  </w:p>
                  <w:p w:rsidR="005747DD" w:rsidRPr="00D94E9F" w:rsidRDefault="005747DD" w:rsidP="00574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400" w:lineRule="auto"/>
                      <w:jc w:val="both"/>
                      <w:rPr>
                        <w:rFonts w:ascii="標楷體" w:eastAsia="標楷體" w:hAnsi="標楷體" w:cs="標楷體"/>
                        <w:color w:val="000000"/>
                      </w:rPr>
                    </w:pPr>
                    <w:r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英</w:t>
                    </w:r>
                    <w:r w:rsidRPr="00D94E9F">
                      <w:rPr>
                        <w:rFonts w:ascii="標楷體" w:eastAsia="標楷體" w:hAnsi="標楷體" w:cs="標楷體"/>
                        <w:color w:val="000000"/>
                      </w:rPr>
                      <w:t xml:space="preserve">-J-B1 </w:t>
                    </w:r>
                    <w:r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具備聽、說、讀、</w:t>
                    </w:r>
                    <w:r w:rsidRPr="00D94E9F">
                      <w:rPr>
                        <w:rFonts w:ascii="標楷體" w:eastAsia="標楷體" w:hAnsi="標楷體" w:cs="標楷體"/>
                        <w:color w:val="000000"/>
                      </w:rPr>
                      <w:t xml:space="preserve"> </w:t>
                    </w:r>
                    <w:r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寫英語文的基礎</w:t>
                    </w:r>
                    <w:r w:rsidRPr="00D94E9F">
                      <w:rPr>
                        <w:rFonts w:ascii="標楷體" w:eastAsia="標楷體" w:hAnsi="標楷體" w:cs="標楷體"/>
                        <w:color w:val="000000"/>
                      </w:rPr>
                      <w:t xml:space="preserve"> </w:t>
                    </w:r>
                    <w:r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素養，在日常生</w:t>
                    </w:r>
                    <w:r w:rsidRPr="00D94E9F">
                      <w:rPr>
                        <w:rFonts w:ascii="標楷體" w:eastAsia="標楷體" w:hAnsi="標楷體" w:cs="標楷體"/>
                        <w:color w:val="000000"/>
                      </w:rPr>
                      <w:t xml:space="preserve"> </w:t>
                    </w:r>
                    <w:r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活常見情境中，</w:t>
                    </w:r>
                    <w:r w:rsidRPr="00D94E9F">
                      <w:rPr>
                        <w:rFonts w:ascii="標楷體" w:eastAsia="標楷體" w:hAnsi="標楷體" w:cs="標楷體"/>
                        <w:color w:val="000000"/>
                      </w:rPr>
                      <w:t xml:space="preserve"> </w:t>
                    </w:r>
                    <w:r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能運用所學字</w:t>
                    </w:r>
                    <w:r w:rsidRPr="00D94E9F">
                      <w:rPr>
                        <w:rFonts w:ascii="標楷體" w:eastAsia="標楷體" w:hAnsi="標楷體" w:cs="標楷體"/>
                        <w:color w:val="000000"/>
                      </w:rPr>
                      <w:t xml:space="preserve"> </w:t>
                    </w:r>
                    <w:r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詞、句型及肢體語言進行適切合宜的溝通與互</w:t>
                    </w:r>
                    <w:r w:rsidRPr="00D94E9F">
                      <w:rPr>
                        <w:rFonts w:ascii="標楷體" w:eastAsia="標楷體" w:hAnsi="標楷體" w:cs="標楷體"/>
                        <w:color w:val="000000"/>
                      </w:rPr>
                      <w:t xml:space="preserve"> </w:t>
                    </w:r>
                    <w:r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動。</w:t>
                    </w:r>
                  </w:p>
                  <w:p w:rsidR="00F676A8" w:rsidRPr="00116C38" w:rsidRDefault="005747DD" w:rsidP="00116C38">
                    <w:pPr>
                      <w:pStyle w:val="Default"/>
                      <w:jc w:val="both"/>
                      <w:rPr>
                        <w:rFonts w:ascii="標楷體" w:eastAsia="標楷體" w:hAnsi="標楷體" w:cs="標楷體"/>
                        <w:kern w:val="3"/>
                        <w:szCs w:val="22"/>
                      </w:rPr>
                    </w:pPr>
                    <w:r w:rsidRPr="00D94E9F">
                      <w:rPr>
                        <w:rFonts w:ascii="標楷體" w:eastAsia="標楷體" w:hAnsi="標楷體" w:cs="標楷體" w:hint="eastAsia"/>
                        <w:kern w:val="3"/>
                        <w:szCs w:val="22"/>
                      </w:rPr>
                      <w:t>自</w:t>
                    </w:r>
                    <w:r w:rsidRPr="00D94E9F">
                      <w:rPr>
                        <w:rFonts w:ascii="標楷體" w:eastAsia="標楷體" w:hAnsi="標楷體" w:cs="標楷體"/>
                        <w:kern w:val="3"/>
                        <w:szCs w:val="22"/>
                      </w:rPr>
                      <w:t>-J-C1</w:t>
                    </w:r>
                    <w:r w:rsidRPr="00D94E9F">
                      <w:rPr>
                        <w:rFonts w:ascii="標楷體" w:eastAsia="標楷體" w:hAnsi="標楷體" w:cs="標楷體" w:hint="eastAsia"/>
                        <w:kern w:val="3"/>
                        <w:szCs w:val="22"/>
                      </w:rPr>
                      <w:t>從日常學習中，主動關心自然環境相關公共議題，尊重生命。</w:t>
                    </w:r>
                  </w:p>
                </w:sdtContent>
              </w:sdt>
            </w:sdtContent>
          </w:sdt>
        </w:tc>
      </w:tr>
      <w:tr w:rsidR="00F676A8" w:rsidRPr="00D94E9F" w:rsidTr="000D467C">
        <w:trPr>
          <w:trHeight w:val="791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sdt>
            <w:sdt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g w:val="goog_rdk_11"/>
              <w:id w:val="2058357954"/>
            </w:sdtPr>
            <w:sdtEndPr/>
            <w:sdtContent>
              <w:p w:rsidR="00E639D3" w:rsidRPr="00D94E9F" w:rsidRDefault="007B4817" w:rsidP="00E639D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400" w:lineRule="auto"/>
                  <w:jc w:val="both"/>
                  <w:rPr>
                    <w:rFonts w:ascii="標楷體" w:eastAsia="標楷體" w:hAnsi="標楷體" w:cs="標楷體"/>
                    <w:color w:val="000000"/>
                  </w:rPr>
                </w:pPr>
                <w:r w:rsidRPr="00D94E9F">
                  <w:rPr>
                    <w:rFonts w:ascii="標楷體" w:eastAsia="標楷體" w:hAnsi="標楷體" w:cs="標楷體" w:hint="eastAsia"/>
                    <w:color w:val="000000"/>
                  </w:rPr>
                  <w:t>校</w:t>
                </w:r>
                <w:r w:rsidR="00E639D3" w:rsidRPr="00D94E9F">
                  <w:rPr>
                    <w:rFonts w:ascii="標楷體" w:eastAsia="標楷體" w:hAnsi="標楷體" w:cs="標楷體"/>
                    <w:color w:val="000000"/>
                  </w:rPr>
                  <w:t>8-</w:t>
                </w:r>
                <w:r w:rsidR="00E639D3" w:rsidRPr="00D94E9F">
                  <w:rPr>
                    <w:rFonts w:ascii="標楷體" w:eastAsia="標楷體" w:hAnsi="標楷體" w:cs="標楷體" w:hint="eastAsia"/>
                    <w:color w:val="000000"/>
                  </w:rPr>
                  <w:t>Ⅳ</w:t>
                </w:r>
                <w:r w:rsidR="00E639D3" w:rsidRPr="00D94E9F">
                  <w:rPr>
                    <w:rFonts w:ascii="標楷體" w:eastAsia="標楷體" w:hAnsi="標楷體" w:cs="標楷體"/>
                    <w:color w:val="000000"/>
                  </w:rPr>
                  <w:t>-5</w:t>
                </w:r>
                <w:r w:rsidR="00E639D3" w:rsidRPr="00D94E9F">
                  <w:rPr>
                    <w:rFonts w:ascii="標楷體" w:eastAsia="標楷體" w:hAnsi="標楷體" w:cs="標楷體" w:hint="eastAsia"/>
                    <w:color w:val="000000"/>
                  </w:rPr>
                  <w:t>能具有基本的世界觀。</w:t>
                </w:r>
              </w:p>
              <w:p w:rsidR="00F676A8" w:rsidRPr="00D94E9F" w:rsidRDefault="007B4817" w:rsidP="00D646C3">
                <w:pPr>
                  <w:pStyle w:val="Default"/>
                  <w:jc w:val="both"/>
                  <w:rPr>
                    <w:rFonts w:ascii="標楷體" w:eastAsia="標楷體" w:hAnsi="標楷體" w:cs="標楷體"/>
                    <w:kern w:val="3"/>
                    <w:szCs w:val="22"/>
                  </w:rPr>
                </w:pPr>
                <w:r w:rsidRPr="00D94E9F">
                  <w:rPr>
                    <w:rFonts w:ascii="標楷體" w:eastAsia="標楷體" w:hAnsi="標楷體" w:cs="標楷體" w:hint="eastAsia"/>
                    <w:kern w:val="3"/>
                    <w:szCs w:val="22"/>
                  </w:rPr>
                  <w:t>自</w:t>
                </w:r>
                <w:r w:rsidR="00E639D3" w:rsidRPr="00D94E9F">
                  <w:rPr>
                    <w:rFonts w:ascii="標楷體" w:eastAsia="標楷體" w:hAnsi="標楷體" w:cs="標楷體"/>
                    <w:kern w:val="3"/>
                    <w:szCs w:val="22"/>
                  </w:rPr>
                  <w:t>pa-</w:t>
                </w:r>
                <w:r w:rsidR="00E639D3" w:rsidRPr="00D94E9F">
                  <w:rPr>
                    <w:rFonts w:ascii="標楷體" w:eastAsia="標楷體" w:hAnsi="標楷體" w:cs="標楷體" w:hint="eastAsia"/>
                    <w:kern w:val="3"/>
                    <w:szCs w:val="22"/>
                  </w:rPr>
                  <w:t>Ⅳ</w:t>
                </w:r>
                <w:r w:rsidR="00E639D3" w:rsidRPr="00D94E9F">
                  <w:rPr>
                    <w:rFonts w:ascii="標楷體" w:eastAsia="標楷體" w:hAnsi="標楷體" w:cs="標楷體"/>
                    <w:kern w:val="3"/>
                    <w:szCs w:val="22"/>
                  </w:rPr>
                  <w:t>-1</w:t>
                </w:r>
                <w:r w:rsidR="00E639D3" w:rsidRPr="00D94E9F">
                  <w:rPr>
                    <w:rFonts w:ascii="標楷體" w:eastAsia="標楷體" w:hAnsi="標楷體" w:cs="標楷體" w:hint="eastAsia"/>
                    <w:kern w:val="3"/>
                    <w:szCs w:val="22"/>
                  </w:rPr>
                  <w:t>能分析歸納、製作圖表、使用資訊及數學等方法，整理資訊或數據。</w:t>
                </w:r>
              </w:p>
            </w:sdtContent>
          </w:sdt>
        </w:tc>
      </w:tr>
      <w:tr w:rsidR="00F676A8" w:rsidRPr="00D94E9F" w:rsidTr="000D467C">
        <w:trPr>
          <w:trHeight w:val="789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Pr="00D94E9F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sdt>
            <w:sdtPr>
              <w:rPr>
                <w:rFonts w:ascii="標楷體" w:eastAsia="標楷體" w:hAnsi="標楷體" w:cs="標楷體"/>
                <w:color w:val="000000"/>
              </w:rPr>
              <w:tag w:val="goog_rdk_13"/>
              <w:id w:val="-180291738"/>
            </w:sdtPr>
            <w:sdtEndPr/>
            <w:sdtContent>
              <w:p w:rsidR="00A73D8A" w:rsidRPr="00D94E9F" w:rsidRDefault="00581055" w:rsidP="008379F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auto"/>
                  <w:rPr>
                    <w:rFonts w:ascii="標楷體" w:eastAsia="標楷體" w:hAnsi="標楷體" w:cs="標楷體"/>
                    <w:color w:val="000000"/>
                  </w:rPr>
                </w:pPr>
                <w:sdt>
                  <w:sdtPr>
                    <w:rPr>
                      <w:rFonts w:ascii="標楷體" w:eastAsia="標楷體" w:hAnsi="標楷體" w:cs="標楷體"/>
                      <w:color w:val="000000"/>
                    </w:rPr>
                    <w:tag w:val="goog_rdk_12"/>
                    <w:id w:val="-1293442195"/>
                  </w:sdtPr>
                  <w:sdtEndPr/>
                  <w:sdtContent>
                    <w:r w:rsidR="007B4817" w:rsidRPr="00D94E9F">
                      <w:rPr>
                        <w:rFonts w:ascii="標楷體" w:eastAsia="標楷體" w:hAnsi="標楷體" w:cs="標楷體" w:hint="eastAsia"/>
                        <w:color w:val="000000"/>
                      </w:rPr>
                      <w:t>校</w:t>
                    </w:r>
                  </w:sdtContent>
                </w:sdt>
                <w:r w:rsidR="007B4817" w:rsidRPr="00D94E9F">
                  <w:rPr>
                    <w:rFonts w:ascii="標楷體" w:eastAsia="標楷體" w:hAnsi="標楷體" w:cs="標楷體" w:hint="eastAsia"/>
                    <w:color w:val="000000"/>
                  </w:rPr>
                  <w:t xml:space="preserve">   </w:t>
                </w:r>
                <w:r w:rsidR="00A73D8A" w:rsidRPr="00D94E9F">
                  <w:rPr>
                    <w:rFonts w:ascii="標楷體" w:eastAsia="標楷體" w:hAnsi="標楷體" w:cs="標楷體"/>
                    <w:color w:val="000000"/>
                  </w:rPr>
                  <w:t>了解在地文化，積極關注全球議題，並提出個人見解。</w:t>
                </w:r>
              </w:p>
              <w:p w:rsidR="002C4585" w:rsidRPr="00D94E9F" w:rsidRDefault="007B4817" w:rsidP="00A73D8A">
                <w:pPr>
                  <w:pStyle w:val="Default"/>
                  <w:rPr>
                    <w:rFonts w:ascii="標楷體" w:eastAsia="標楷體" w:hAnsi="標楷體" w:cs="標楷體"/>
                    <w:kern w:val="3"/>
                    <w:szCs w:val="22"/>
                  </w:rPr>
                </w:pPr>
                <w:r w:rsidRPr="00D94E9F">
                  <w:rPr>
                    <w:rFonts w:ascii="標楷體" w:eastAsia="標楷體" w:hAnsi="標楷體" w:cs="標楷體" w:hint="eastAsia"/>
                    <w:kern w:val="3"/>
                    <w:szCs w:val="22"/>
                  </w:rPr>
                  <w:t xml:space="preserve">英   </w:t>
                </w:r>
                <w:r w:rsidR="002C4585" w:rsidRPr="00D94E9F">
                  <w:rPr>
                    <w:rFonts w:ascii="標楷體" w:eastAsia="標楷體" w:hAnsi="標楷體" w:cs="標楷體" w:hint="eastAsia"/>
                    <w:kern w:val="3"/>
                    <w:szCs w:val="22"/>
                  </w:rPr>
                  <w:t>簡易故事的背景、人物、事件和結局。</w:t>
                </w:r>
              </w:p>
              <w:p w:rsidR="00A73D8A" w:rsidRPr="00D94E9F" w:rsidRDefault="007B4817" w:rsidP="00A73D8A">
                <w:pPr>
                  <w:pStyle w:val="Default"/>
                  <w:rPr>
                    <w:rFonts w:ascii="標楷體" w:eastAsia="標楷體" w:hAnsi="標楷體" w:cs="標楷體"/>
                    <w:kern w:val="3"/>
                    <w:szCs w:val="22"/>
                  </w:rPr>
                </w:pPr>
                <w:r w:rsidRPr="00D94E9F">
                  <w:rPr>
                    <w:rFonts w:ascii="標楷體" w:eastAsia="標楷體" w:hAnsi="標楷體" w:cs="標楷體" w:hint="eastAsia"/>
                    <w:kern w:val="3"/>
                    <w:szCs w:val="22"/>
                  </w:rPr>
                  <w:t xml:space="preserve">自   </w:t>
                </w:r>
                <w:r w:rsidR="00A73D8A" w:rsidRPr="00D94E9F">
                  <w:rPr>
                    <w:rFonts w:ascii="標楷體" w:eastAsia="標楷體" w:hAnsi="標楷體" w:cs="標楷體" w:hint="eastAsia"/>
                    <w:kern w:val="3"/>
                    <w:szCs w:val="22"/>
                  </w:rPr>
                  <w:t>隨著生物間、生物與環境間的交互作用，生態系中的結構會隨時間改變，形成演替現象。</w:t>
                </w:r>
              </w:p>
              <w:p w:rsidR="00A73D8A" w:rsidRPr="00D94E9F" w:rsidRDefault="007B4817" w:rsidP="00A73D8A">
                <w:pPr>
                  <w:pStyle w:val="Default"/>
                  <w:rPr>
                    <w:rFonts w:ascii="標楷體" w:eastAsia="標楷體" w:hAnsi="標楷體" w:cs="標楷體"/>
                    <w:kern w:val="3"/>
                    <w:szCs w:val="22"/>
                  </w:rPr>
                </w:pPr>
                <w:r w:rsidRPr="00D94E9F">
                  <w:rPr>
                    <w:rFonts w:ascii="標楷體" w:eastAsia="標楷體" w:hAnsi="標楷體" w:cs="標楷體" w:hint="eastAsia"/>
                    <w:kern w:val="3"/>
                    <w:szCs w:val="22"/>
                  </w:rPr>
                  <w:t xml:space="preserve">自   </w:t>
                </w:r>
                <w:r w:rsidR="00A73D8A" w:rsidRPr="00D94E9F">
                  <w:rPr>
                    <w:rFonts w:ascii="標楷體" w:eastAsia="標楷體" w:hAnsi="標楷體" w:cs="標楷體" w:hint="eastAsia"/>
                    <w:kern w:val="3"/>
                    <w:szCs w:val="22"/>
                  </w:rPr>
                  <w:t>氣候變遷產生的衝擊有海平面上升、全球暖化、異常降水等現象。</w:t>
                </w:r>
              </w:p>
              <w:p w:rsidR="00F676A8" w:rsidRPr="00D94E9F" w:rsidRDefault="0058105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auto"/>
                  <w:rPr>
                    <w:rFonts w:ascii="標楷體" w:eastAsia="標楷體" w:hAnsi="標楷體" w:cs="標楷體"/>
                    <w:color w:val="000000"/>
                  </w:rPr>
                </w:pPr>
              </w:p>
            </w:sdtContent>
          </w:sdt>
        </w:tc>
      </w:tr>
      <w:tr w:rsidR="00F676A8" w:rsidRPr="00D94E9F" w:rsidTr="000D467C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585" w:rsidRPr="00D94E9F" w:rsidRDefault="002C4585" w:rsidP="002C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ab/>
              <w:t>透過英文</w:t>
            </w:r>
            <w:r w:rsidR="001F5E3F" w:rsidRPr="00D94E9F">
              <w:rPr>
                <w:rFonts w:ascii="標楷體" w:eastAsia="標楷體" w:hAnsi="標楷體" w:cs="標楷體" w:hint="eastAsia"/>
                <w:color w:val="000000"/>
              </w:rPr>
              <w:t>新聞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文本帶讀與賞析，培養學生解讀全球議題的能力。</w:t>
            </w:r>
          </w:p>
          <w:p w:rsidR="002C4585" w:rsidRPr="00D94E9F" w:rsidRDefault="002C4585" w:rsidP="002C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ab/>
            </w:r>
            <w:r w:rsidR="00AD0277" w:rsidRPr="00D94E9F">
              <w:rPr>
                <w:rFonts w:ascii="標楷體" w:eastAsia="標楷體" w:hAnsi="標楷體" w:cs="標楷體" w:hint="eastAsia"/>
                <w:color w:val="000000"/>
              </w:rPr>
              <w:t>能夠</w:t>
            </w:r>
            <w:r w:rsidR="00D16FC8" w:rsidRPr="00D94E9F">
              <w:rPr>
                <w:rFonts w:ascii="標楷體" w:eastAsia="標楷體" w:hAnsi="標楷體" w:cs="標楷體" w:hint="eastAsia"/>
                <w:color w:val="000000"/>
              </w:rPr>
              <w:t>閱讀與賞析英文文本並能進行口發表的能力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</w:tr>
      <w:tr w:rsidR="00F676A8" w:rsidRPr="00D94E9F" w:rsidTr="000D467C">
        <w:trPr>
          <w:trHeight w:val="915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總結性評量-表現任務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 w:cs="標楷體"/>
                <w:color w:val="000000"/>
              </w:rPr>
              <w:tag w:val="goog_rdk_21"/>
              <w:id w:val="660669176"/>
            </w:sdtPr>
            <w:sdtEndPr/>
            <w:sdtContent>
              <w:p w:rsidR="00F676A8" w:rsidRPr="00D94E9F" w:rsidRDefault="00581055" w:rsidP="008379F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auto"/>
                  <w:rPr>
                    <w:rFonts w:ascii="標楷體" w:eastAsia="標楷體" w:hAnsi="標楷體" w:cs="標楷體"/>
                    <w:color w:val="000000"/>
                  </w:rPr>
                </w:pPr>
                <w:sdt>
                  <w:sdtPr>
                    <w:rPr>
                      <w:rFonts w:ascii="標楷體" w:eastAsia="標楷體" w:hAnsi="標楷體" w:cs="標楷體"/>
                      <w:color w:val="000000"/>
                    </w:rPr>
                    <w:tag w:val="goog_rdk_19"/>
                    <w:id w:val="-1610891854"/>
                    <w:showingPlcHdr/>
                  </w:sdtPr>
                  <w:sdtEndPr/>
                  <w:sdtContent>
                    <w:r w:rsidR="008379FF" w:rsidRPr="00D94E9F">
                      <w:rPr>
                        <w:rFonts w:ascii="標楷體" w:eastAsia="標楷體" w:hAnsi="標楷體" w:cs="標楷體"/>
                        <w:color w:val="000000"/>
                      </w:rPr>
                      <w:t xml:space="preserve">     </w:t>
                    </w:r>
                  </w:sdtContent>
                </w:sdt>
                <w:r w:rsidR="0005245F" w:rsidRPr="00D94E9F">
                  <w:rPr>
                    <w:rFonts w:ascii="標楷體" w:eastAsia="標楷體" w:hAnsi="標楷體" w:cs="標楷體" w:hint="eastAsia"/>
                    <w:color w:val="000000"/>
                  </w:rPr>
                  <w:t>用本學期課堂中所</w:t>
                </w:r>
                <w:r w:rsidR="00324B0A">
                  <w:rPr>
                    <w:rFonts w:ascii="標楷體" w:eastAsia="標楷體" w:hAnsi="標楷體" w:cs="標楷體" w:hint="eastAsia"/>
                    <w:color w:val="000000"/>
                  </w:rPr>
                  <w:t>學到的科學閱讀認知策略，以</w:t>
                </w:r>
                <w:r w:rsidR="00324B0A" w:rsidRPr="00324B0A">
                  <w:rPr>
                    <w:rFonts w:ascii="標楷體" w:eastAsia="標楷體" w:hAnsi="標楷體" w:cs="標楷體" w:hint="eastAsia"/>
                    <w:color w:val="000000"/>
                  </w:rPr>
                  <w:t>「基改食品」</w:t>
                </w:r>
                <w:r w:rsidR="00940807">
                  <w:rPr>
                    <w:rFonts w:ascii="新細明體" w:eastAsia="新細明體" w:hAnsi="新細明體" w:cs="標楷體" w:hint="eastAsia"/>
                    <w:color w:val="000000"/>
                  </w:rPr>
                  <w:t>、</w:t>
                </w:r>
                <w:r w:rsidR="00940807">
                  <w:rPr>
                    <w:rFonts w:ascii="SimSun" w:eastAsia="SimSun" w:hAnsi="SimSun" w:cs="標楷體" w:hint="eastAsia"/>
                    <w:color w:val="000000"/>
                  </w:rPr>
                  <w:t>「</w:t>
                </w:r>
                <w:r w:rsidR="00D13609" w:rsidRPr="00D13609">
                  <w:rPr>
                    <w:rFonts w:ascii="標楷體" w:eastAsia="標楷體" w:hAnsi="標楷體" w:cs="標楷體" w:hint="eastAsia"/>
                    <w:color w:val="000000"/>
                  </w:rPr>
                  <w:t>極端氣候</w:t>
                </w:r>
                <w:r w:rsidR="00940807" w:rsidRPr="00D13609">
                  <w:rPr>
                    <w:rFonts w:ascii="標楷體" w:eastAsia="標楷體" w:hAnsi="標楷體" w:cs="標楷體" w:hint="eastAsia"/>
                    <w:color w:val="000000"/>
                  </w:rPr>
                  <w:t>」</w:t>
                </w:r>
                <w:r w:rsidR="00324B0A" w:rsidRPr="00324B0A">
                  <w:rPr>
                    <w:rFonts w:ascii="標楷體" w:eastAsia="標楷體" w:hAnsi="標楷體" w:cs="標楷體" w:hint="eastAsia"/>
                    <w:color w:val="000000"/>
                  </w:rPr>
                  <w:t>為主題</w:t>
                </w:r>
                <w:r w:rsidR="0005245F" w:rsidRPr="00D94E9F">
                  <w:rPr>
                    <w:rFonts w:ascii="標楷體" w:eastAsia="標楷體" w:hAnsi="標楷體" w:cs="標楷體" w:hint="eastAsia"/>
                    <w:color w:val="000000"/>
                  </w:rPr>
                  <w:t>搜尋英文文本，</w:t>
                </w:r>
                <w:r w:rsidR="008D59A7">
                  <w:rPr>
                    <w:rFonts w:ascii="標楷體" w:eastAsia="標楷體" w:hAnsi="標楷體" w:cs="標楷體" w:hint="eastAsia"/>
                    <w:color w:val="000000"/>
                  </w:rPr>
                  <w:t>進行摘要並</w:t>
                </w:r>
                <w:r w:rsidR="00F715BA" w:rsidRPr="00D94E9F">
                  <w:rPr>
                    <w:rFonts w:ascii="標楷體" w:eastAsia="標楷體" w:hAnsi="標楷體" w:cs="標楷體" w:hint="eastAsia"/>
                    <w:color w:val="000000"/>
                  </w:rPr>
                  <w:t>做人</w:t>
                </w:r>
                <w:r w:rsidR="001F7F38" w:rsidRPr="00D94E9F">
                  <w:rPr>
                    <w:rFonts w:ascii="標楷體" w:eastAsia="標楷體" w:hAnsi="標楷體" w:cs="標楷體" w:hint="eastAsia"/>
                    <w:color w:val="000000"/>
                  </w:rPr>
                  <w:t>、</w:t>
                </w:r>
                <w:r w:rsidR="00F715BA" w:rsidRPr="00D94E9F">
                  <w:rPr>
                    <w:rFonts w:ascii="標楷體" w:eastAsia="標楷體" w:hAnsi="標楷體" w:cs="標楷體" w:hint="eastAsia"/>
                    <w:color w:val="000000"/>
                  </w:rPr>
                  <w:t>事</w:t>
                </w:r>
                <w:r w:rsidR="001F7F38" w:rsidRPr="00D94E9F">
                  <w:rPr>
                    <w:rFonts w:ascii="標楷體" w:eastAsia="標楷體" w:hAnsi="標楷體" w:cs="標楷體" w:hint="eastAsia"/>
                    <w:color w:val="000000"/>
                  </w:rPr>
                  <w:t>、</w:t>
                </w:r>
                <w:r w:rsidR="00F715BA" w:rsidRPr="00D94E9F">
                  <w:rPr>
                    <w:rFonts w:ascii="標楷體" w:eastAsia="標楷體" w:hAnsi="標楷體" w:cs="標楷體" w:hint="eastAsia"/>
                    <w:color w:val="000000"/>
                  </w:rPr>
                  <w:t>時</w:t>
                </w:r>
                <w:r w:rsidR="001F7F38" w:rsidRPr="00D94E9F">
                  <w:rPr>
                    <w:rFonts w:ascii="標楷體" w:eastAsia="標楷體" w:hAnsi="標楷體" w:cs="標楷體" w:hint="eastAsia"/>
                    <w:color w:val="000000"/>
                  </w:rPr>
                  <w:t>、</w:t>
                </w:r>
                <w:r w:rsidR="00F715BA" w:rsidRPr="00D94E9F">
                  <w:rPr>
                    <w:rFonts w:ascii="標楷體" w:eastAsia="標楷體" w:hAnsi="標楷體" w:cs="標楷體" w:hint="eastAsia"/>
                    <w:color w:val="000000"/>
                  </w:rPr>
                  <w:t>地</w:t>
                </w:r>
                <w:r w:rsidR="001F7F38" w:rsidRPr="00D94E9F">
                  <w:rPr>
                    <w:rFonts w:ascii="標楷體" w:eastAsia="標楷體" w:hAnsi="標楷體" w:cs="標楷體" w:hint="eastAsia"/>
                    <w:color w:val="000000"/>
                  </w:rPr>
                  <w:t>、</w:t>
                </w:r>
                <w:r w:rsidR="00F715BA" w:rsidRPr="00D94E9F">
                  <w:rPr>
                    <w:rFonts w:ascii="標楷體" w:eastAsia="標楷體" w:hAnsi="標楷體" w:cs="標楷體" w:hint="eastAsia"/>
                    <w:color w:val="000000"/>
                  </w:rPr>
                  <w:t>物的分析</w:t>
                </w:r>
                <w:r w:rsidR="001F7F38" w:rsidRPr="00D94E9F">
                  <w:rPr>
                    <w:rFonts w:ascii="標楷體" w:eastAsia="標楷體" w:hAnsi="標楷體" w:cs="標楷體" w:hint="eastAsia"/>
                    <w:color w:val="000000"/>
                  </w:rPr>
                  <w:t>與討論，練習上台</w:t>
                </w:r>
                <w:r w:rsidR="00144BB5" w:rsidRPr="00D94E9F">
                  <w:rPr>
                    <w:rFonts w:ascii="標楷體" w:eastAsia="標楷體" w:hAnsi="標楷體" w:cs="標楷體" w:hint="eastAsia"/>
                    <w:color w:val="000000"/>
                  </w:rPr>
                  <w:t>報告，</w:t>
                </w:r>
                <w:r w:rsidR="001F7F38" w:rsidRPr="00D94E9F">
                  <w:rPr>
                    <w:rFonts w:ascii="標楷體" w:eastAsia="標楷體" w:hAnsi="標楷體" w:cs="標楷體" w:hint="eastAsia"/>
                    <w:color w:val="000000"/>
                  </w:rPr>
                  <w:t>口頭分享</w:t>
                </w:r>
                <w:r w:rsidR="00F715BA" w:rsidRPr="00D94E9F">
                  <w:rPr>
                    <w:rFonts w:ascii="標楷體" w:eastAsia="標楷體" w:hAnsi="標楷體" w:cs="標楷體" w:hint="eastAsia"/>
                    <w:color w:val="000000"/>
                  </w:rPr>
                  <w:t>。</w:t>
                </w:r>
              </w:p>
            </w:sdtContent>
          </w:sdt>
        </w:tc>
      </w:tr>
      <w:tr w:rsidR="00F676A8" w:rsidRPr="00D94E9F" w:rsidTr="000D467C">
        <w:trPr>
          <w:trHeight w:val="779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週次/節數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單元/子題可合併數週整合敘寫或依各週次進度敘寫。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Pr="00D94E9F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9D10C0" w:rsidRPr="00D94E9F" w:rsidTr="00D72C5F">
        <w:trPr>
          <w:trHeight w:val="1056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0C0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D10C0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9D10C0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9D10C0" w:rsidRPr="00D94E9F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0C0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D10C0" w:rsidRPr="00D94E9F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9D10C0" w:rsidRPr="00D94E9F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0C0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課程</w:t>
            </w:r>
            <w:r w:rsidRPr="00D94E9F">
              <w:rPr>
                <w:rFonts w:ascii="標楷體" w:eastAsia="標楷體" w:hAnsi="標楷體" w:cs="標楷體"/>
                <w:color w:val="000000"/>
              </w:rPr>
              <w:t>介紹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C0" w:rsidRPr="00D94E9F" w:rsidRDefault="009D10C0" w:rsidP="000D467C">
            <w:pPr>
              <w:suppressAutoHyphens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D94E9F">
              <w:rPr>
                <w:rFonts w:ascii="標楷體" w:eastAsia="標楷體" w:hAnsi="標楷體" w:cs="標楷體"/>
                <w:color w:val="000000"/>
              </w:rPr>
              <w:t>認識彼此、分組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9D10C0" w:rsidRPr="00D94E9F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4E9F">
              <w:rPr>
                <w:rFonts w:ascii="標楷體" w:eastAsia="標楷體" w:hAnsi="標楷體" w:cs="標楷體"/>
                <w:color w:val="000000"/>
              </w:rPr>
              <w:t>.本學期課程安排與介紹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0C0" w:rsidRPr="00D94E9F" w:rsidRDefault="009D10C0" w:rsidP="000D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課堂參與度</w:t>
            </w:r>
          </w:p>
        </w:tc>
      </w:tr>
      <w:tr w:rsidR="000A0F03" w:rsidRPr="00D94E9F" w:rsidTr="00D72C5F">
        <w:trPr>
          <w:trHeight w:val="1056"/>
          <w:jc w:val="center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4E9F">
              <w:rPr>
                <w:rFonts w:ascii="標楷體" w:eastAsia="標楷體" w:hAnsi="標楷體" w:cs="標楷體"/>
                <w:color w:val="000000"/>
              </w:rPr>
              <w:t>-4</w:t>
            </w: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科學閱讀認知策略</w:t>
            </w:r>
          </w:p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F03" w:rsidRPr="00D94E9F" w:rsidRDefault="000A0F03" w:rsidP="000A0F03">
            <w:pPr>
              <w:pStyle w:val="ab"/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建立目標:推測主題、猜測內容。</w:t>
            </w:r>
          </w:p>
          <w:p w:rsidR="000A0F03" w:rsidRPr="00D94E9F" w:rsidRDefault="000A0F03" w:rsidP="000A0F03">
            <w:pPr>
              <w:pStyle w:val="ab"/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有效記憶:段落回想、舊經驗連結。</w:t>
            </w:r>
          </w:p>
          <w:p w:rsidR="000A0F03" w:rsidRPr="00D94E9F" w:rsidRDefault="000A0F03" w:rsidP="000A0F03">
            <w:pPr>
              <w:pStyle w:val="ab"/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標示重點:專有名詞、關鍵句。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F03" w:rsidRDefault="009D3498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0A0F03"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</w:tc>
      </w:tr>
      <w:tr w:rsidR="000A0F03" w:rsidRPr="00D94E9F" w:rsidTr="00D72C5F">
        <w:trPr>
          <w:trHeight w:val="815"/>
          <w:jc w:val="center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5-7</w:t>
            </w: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病毒時代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F03" w:rsidRPr="00D94E9F" w:rsidRDefault="00D94E9F" w:rsidP="000A0F03">
            <w:pPr>
              <w:pStyle w:val="ab"/>
              <w:numPr>
                <w:ilvl w:val="0"/>
                <w:numId w:val="9"/>
              </w:numPr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用科學閱讀認知策略</w:t>
            </w:r>
            <w:r w:rsidR="000A0F03"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分析文本</w:t>
            </w:r>
            <w:r w:rsidR="000A0F03" w:rsidRPr="00D94E9F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</w:p>
          <w:p w:rsidR="000A0F03" w:rsidRPr="00D94E9F" w:rsidRDefault="000A0F03" w:rsidP="000A0F03">
            <w:pPr>
              <w:pStyle w:val="ab"/>
              <w:ind w:left="36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(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了解歷史上重大病毒大規模擴散事件</w:t>
            </w: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)</w:t>
            </w:r>
          </w:p>
          <w:p w:rsidR="000A0F03" w:rsidRPr="00D94E9F" w:rsidRDefault="00D94E9F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2.</w:t>
            </w:r>
            <w:r w:rsidR="000A0F03" w:rsidRPr="00D94E9F">
              <w:rPr>
                <w:rFonts w:ascii="標楷體" w:eastAsia="標楷體" w:hAnsi="標楷體" w:cs="標楷體"/>
                <w:color w:val="000000"/>
              </w:rPr>
              <w:t>321</w:t>
            </w:r>
            <w:r w:rsidR="000A0F03" w:rsidRPr="00D94E9F">
              <w:rPr>
                <w:rFonts w:ascii="標楷體" w:eastAsia="標楷體" w:hAnsi="標楷體" w:cs="標楷體" w:hint="eastAsia"/>
                <w:color w:val="000000"/>
              </w:rPr>
              <w:t>學習單。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F03" w:rsidRDefault="000771B2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0A0F03"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0771B2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  <w:p w:rsidR="000A0F03" w:rsidRDefault="000771B2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口頭提問:列舉病毒擴散事件</w:t>
            </w:r>
            <w:r w:rsidR="00C561AA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</w:tr>
      <w:tr w:rsidR="000A0F03" w:rsidRPr="00D94E9F" w:rsidTr="00D72C5F">
        <w:trPr>
          <w:trHeight w:val="815"/>
          <w:jc w:val="center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8-10週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演化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F03" w:rsidRPr="00D94E9F" w:rsidRDefault="00D94E9F" w:rsidP="000A0F03">
            <w:pPr>
              <w:pStyle w:val="ab"/>
              <w:numPr>
                <w:ilvl w:val="0"/>
                <w:numId w:val="10"/>
              </w:numPr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用科學閱讀認知策略</w:t>
            </w:r>
            <w:r w:rsidR="000A0F03"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分析文本</w:t>
            </w:r>
            <w:r w:rsidR="000A0F03" w:rsidRPr="00D94E9F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</w:p>
          <w:p w:rsidR="000A0F03" w:rsidRPr="00D94E9F" w:rsidRDefault="000A0F03" w:rsidP="000A0F03">
            <w:pPr>
              <w:pStyle w:val="ab"/>
              <w:ind w:left="36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(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透過新冠肺炎病毒的演化模式，了解達爾文的天擇理論</w:t>
            </w: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)</w:t>
            </w:r>
          </w:p>
          <w:p w:rsidR="000A0F03" w:rsidRDefault="00D94E9F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2.</w:t>
            </w:r>
            <w:r w:rsidR="000A0F03" w:rsidRPr="00D94E9F">
              <w:rPr>
                <w:rFonts w:ascii="標楷體" w:eastAsia="標楷體" w:hAnsi="標楷體" w:cs="標楷體"/>
                <w:color w:val="000000"/>
              </w:rPr>
              <w:t>321</w:t>
            </w:r>
            <w:r w:rsidR="000A0F03" w:rsidRPr="00D94E9F">
              <w:rPr>
                <w:rFonts w:ascii="標楷體" w:eastAsia="標楷體" w:hAnsi="標楷體" w:cs="標楷體" w:hint="eastAsia"/>
                <w:color w:val="000000"/>
              </w:rPr>
              <w:t>學習單。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F03" w:rsidRDefault="009D3498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0A0F03"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  <w:p w:rsidR="00C561AA" w:rsidRPr="00C561AA" w:rsidRDefault="00C561AA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口頭提問:以達爾文天擇說說明長頸鹿演化。</w:t>
            </w:r>
          </w:p>
        </w:tc>
      </w:tr>
      <w:tr w:rsidR="000A0F03" w:rsidRPr="00D94E9F" w:rsidTr="00D72C5F">
        <w:trPr>
          <w:trHeight w:val="815"/>
          <w:jc w:val="center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11-1</w:t>
            </w:r>
            <w:r w:rsidR="00324B0A"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共存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F03" w:rsidRPr="00D94E9F" w:rsidRDefault="00D94E9F" w:rsidP="000A0F03">
            <w:pPr>
              <w:pStyle w:val="ab"/>
              <w:numPr>
                <w:ilvl w:val="0"/>
                <w:numId w:val="11"/>
              </w:numPr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用科學閱讀認知策略</w:t>
            </w:r>
            <w:r w:rsidR="000A0F03"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分析文本</w:t>
            </w:r>
            <w:r w:rsidR="000A0F03" w:rsidRPr="00D94E9F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</w:p>
          <w:p w:rsidR="000A0F03" w:rsidRPr="00D94E9F" w:rsidRDefault="000A0F03" w:rsidP="000A0F03">
            <w:pPr>
              <w:pStyle w:val="ab"/>
              <w:ind w:left="36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(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以新加玻對抗新冠病毒的防疫政策為例，了解如何與病毒共存</w:t>
            </w: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)</w:t>
            </w:r>
          </w:p>
          <w:p w:rsidR="000A0F03" w:rsidRPr="00D94E9F" w:rsidRDefault="000A0F03" w:rsidP="000A0F03">
            <w:pPr>
              <w:pStyle w:val="ab"/>
              <w:numPr>
                <w:ilvl w:val="0"/>
                <w:numId w:val="11"/>
              </w:numPr>
              <w:ind w:left="480" w:hanging="48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321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學習單。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F03" w:rsidRDefault="009D3498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0A0F03"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  <w:p w:rsidR="00C561AA" w:rsidRDefault="00C561AA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口頭提問:</w:t>
            </w:r>
            <w:r w:rsidR="009426F6">
              <w:rPr>
                <w:rFonts w:ascii="標楷體" w:eastAsia="標楷體" w:hAnsi="標楷體" w:cs="標楷體" w:hint="eastAsia"/>
                <w:color w:val="000000"/>
              </w:rPr>
              <w:t>請比較台灣跟新加坡防疫政策之異同。</w:t>
            </w:r>
          </w:p>
        </w:tc>
      </w:tr>
      <w:tr w:rsidR="00324B0A" w:rsidRPr="00D94E9F" w:rsidTr="005A0A63">
        <w:trPr>
          <w:trHeight w:val="1640"/>
          <w:jc w:val="center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4B0A" w:rsidRDefault="00324B0A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4B0A" w:rsidRDefault="00324B0A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324B0A" w:rsidRDefault="00324B0A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15-18週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B0A" w:rsidRDefault="00324B0A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疫苗-生物科技發展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B0A" w:rsidRPr="00D94E9F" w:rsidRDefault="00324B0A" w:rsidP="000A0F03">
            <w:pPr>
              <w:pStyle w:val="ab"/>
              <w:numPr>
                <w:ilvl w:val="0"/>
                <w:numId w:val="12"/>
              </w:numPr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用科學閱讀認知策略分析文本</w:t>
            </w: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</w:p>
          <w:p w:rsidR="00324B0A" w:rsidRPr="00D94E9F" w:rsidRDefault="00324B0A" w:rsidP="000A0F03">
            <w:pPr>
              <w:pStyle w:val="ab"/>
              <w:ind w:left="36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(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以新冠肺炎疫苗為例，了解疫苗等生物科技的發展</w:t>
            </w: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)</w:t>
            </w:r>
          </w:p>
          <w:p w:rsidR="00324B0A" w:rsidRDefault="00324B0A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4E9F">
              <w:rPr>
                <w:rFonts w:ascii="標楷體" w:eastAsia="標楷體" w:hAnsi="標楷體" w:cs="標楷體"/>
                <w:color w:val="000000"/>
              </w:rPr>
              <w:t>.321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學習單。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4B0A" w:rsidRDefault="009D3498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324B0A"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324B0A" w:rsidRDefault="00324B0A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  <w:p w:rsidR="002454E0" w:rsidRDefault="002454E0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口頭提問:比較市面上新冠疫苗的不同點。</w:t>
            </w:r>
          </w:p>
        </w:tc>
      </w:tr>
      <w:tr w:rsidR="000A0F03" w:rsidRPr="00D94E9F" w:rsidTr="00D72C5F">
        <w:trPr>
          <w:trHeight w:val="815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19-20週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文本分析與口頭報告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F03" w:rsidRPr="00D94E9F" w:rsidRDefault="000A0F03" w:rsidP="000A0F03">
            <w:pPr>
              <w:pStyle w:val="ab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學生分組進行文本搜尋與分析。</w:t>
            </w:r>
          </w:p>
          <w:p w:rsidR="000A0F03" w:rsidRPr="00D94E9F" w:rsidRDefault="000A0F03" w:rsidP="000A0F03">
            <w:pPr>
              <w:pStyle w:val="ab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口頭報告與回饋。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報告</w:t>
            </w:r>
          </w:p>
        </w:tc>
      </w:tr>
      <w:tr w:rsidR="000A0F03" w:rsidRPr="00D94E9F" w:rsidTr="00DA0FD1">
        <w:trPr>
          <w:trHeight w:val="81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F03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課程</w:t>
            </w:r>
            <w:r w:rsidRPr="00D94E9F">
              <w:rPr>
                <w:rFonts w:ascii="標楷體" w:eastAsia="標楷體" w:hAnsi="標楷體" w:cs="標楷體"/>
                <w:color w:val="000000"/>
              </w:rPr>
              <w:t>介紹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F03" w:rsidRPr="00D94E9F" w:rsidRDefault="000A0F03" w:rsidP="000A0F03">
            <w:pPr>
              <w:suppressAutoHyphens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D94E9F">
              <w:rPr>
                <w:rFonts w:ascii="標楷體" w:eastAsia="標楷體" w:hAnsi="標楷體" w:cs="標楷體"/>
                <w:color w:val="000000"/>
              </w:rPr>
              <w:t>認識彼此、分組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4E9F">
              <w:rPr>
                <w:rFonts w:ascii="標楷體" w:eastAsia="標楷體" w:hAnsi="標楷體" w:cs="標楷體"/>
                <w:color w:val="000000"/>
              </w:rPr>
              <w:t>.本學期課程安排與介紹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F03" w:rsidRPr="00D94E9F" w:rsidRDefault="000A0F03" w:rsidP="000A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課堂參與度</w:t>
            </w:r>
          </w:p>
        </w:tc>
      </w:tr>
      <w:tr w:rsidR="00644ADB" w:rsidRPr="00D94E9F" w:rsidTr="00DA0FD1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4E9F">
              <w:rPr>
                <w:rFonts w:ascii="標楷體" w:eastAsia="標楷體" w:hAnsi="標楷體" w:cs="標楷體"/>
                <w:color w:val="000000"/>
              </w:rPr>
              <w:t>-4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科學閱讀策略應用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DB" w:rsidRPr="00D94E9F" w:rsidRDefault="00644ADB" w:rsidP="00644ADB">
            <w:pPr>
              <w:pStyle w:val="ab"/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複習上學期所教的科學閱讀認知策略。</w:t>
            </w:r>
          </w:p>
          <w:p w:rsidR="00644ADB" w:rsidRPr="00D94E9F" w:rsidRDefault="00644ADB" w:rsidP="00644ADB">
            <w:pPr>
              <w:pStyle w:val="ab"/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匯出摘要:段落摘要、繪出關係圖。</w:t>
            </w:r>
          </w:p>
          <w:p w:rsidR="00644ADB" w:rsidRPr="00D94E9F" w:rsidRDefault="00644ADB" w:rsidP="00644ADB">
            <w:pPr>
              <w:pStyle w:val="ab"/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解讀科學圖表:座標、數據、關係。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ADB" w:rsidRDefault="009D3498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644ADB"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</w:tc>
      </w:tr>
      <w:tr w:rsidR="00644ADB" w:rsidRPr="00D94E9F" w:rsidTr="000D467C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5-7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Pr="00D94E9F" w:rsidRDefault="00644ADB" w:rsidP="00E8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碳循環與全球暖化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DB" w:rsidRPr="00D94E9F" w:rsidRDefault="00D94E9F" w:rsidP="00D94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D94E9F">
              <w:rPr>
                <w:rFonts w:ascii="標楷體" w:eastAsia="標楷體" w:hAnsi="標楷體" w:cs="標楷體"/>
                <w:color w:val="000000"/>
              </w:rPr>
              <w:t>.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用科學閱讀認知策略</w:t>
            </w:r>
            <w:r w:rsidR="00644ADB" w:rsidRPr="00D94E9F">
              <w:rPr>
                <w:rFonts w:ascii="標楷體" w:eastAsia="標楷體" w:hAnsi="標楷體" w:cs="標楷體" w:hint="eastAsia"/>
                <w:color w:val="000000"/>
              </w:rPr>
              <w:t>分析文本:</w:t>
            </w:r>
          </w:p>
          <w:p w:rsidR="00644ADB" w:rsidRPr="00D94E9F" w:rsidRDefault="00644ADB" w:rsidP="00644ADB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(認識碳循環和全球暖化的關係。)</w:t>
            </w:r>
          </w:p>
          <w:p w:rsidR="00644ADB" w:rsidRPr="00D94E9F" w:rsidRDefault="00644ADB" w:rsidP="00644ADB">
            <w:pPr>
              <w:pStyle w:val="ab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21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學習單。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ADB" w:rsidRDefault="009D3498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644ADB"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  <w:p w:rsidR="00400C19" w:rsidRDefault="00400C19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口頭提問:碳循環的那些階段會跟氣溫的升高有關?</w:t>
            </w:r>
          </w:p>
        </w:tc>
      </w:tr>
      <w:tr w:rsidR="00644ADB" w:rsidRPr="00D94E9F" w:rsidTr="000D467C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8-10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Pr="00D94E9F" w:rsidRDefault="00644ADB" w:rsidP="00E8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氣候變遷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D94E9F">
              <w:rPr>
                <w:rFonts w:ascii="標楷體" w:eastAsia="標楷體" w:hAnsi="標楷體" w:cs="標楷體"/>
                <w:color w:val="000000"/>
              </w:rPr>
              <w:t>.</w:t>
            </w:r>
            <w:r w:rsidR="00D94E9F" w:rsidRPr="00D94E9F">
              <w:rPr>
                <w:rFonts w:ascii="標楷體" w:eastAsia="標楷體" w:hAnsi="標楷體" w:cs="標楷體" w:hint="eastAsia"/>
                <w:color w:val="000000"/>
              </w:rPr>
              <w:t xml:space="preserve"> 用科學閱讀認知策略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分析文本:</w:t>
            </w:r>
          </w:p>
          <w:p w:rsidR="00644ADB" w:rsidRPr="00D94E9F" w:rsidRDefault="00644ADB" w:rsidP="00644ADB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2B006C">
              <w:rPr>
                <w:rFonts w:ascii="標楷體" w:eastAsia="標楷體" w:hAnsi="標楷體" w:cs="標楷體" w:hint="eastAsia"/>
                <w:color w:val="000000"/>
                <w:szCs w:val="22"/>
              </w:rPr>
              <w:t>世紀各國領袖在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氣候變遷</w:t>
            </w:r>
            <w:r w:rsidR="002B006C">
              <w:rPr>
                <w:rFonts w:ascii="標楷體" w:eastAsia="標楷體" w:hAnsi="標楷體" w:cs="標楷體" w:hint="eastAsia"/>
                <w:color w:val="000000"/>
                <w:szCs w:val="22"/>
              </w:rPr>
              <w:t>大會上討論研議將採取哪些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減緩與調適</w:t>
            </w:r>
            <w:r w:rsidR="002B006C">
              <w:rPr>
                <w:rFonts w:ascii="標楷體" w:eastAsia="標楷體" w:hAnsi="標楷體" w:cs="標楷體" w:hint="eastAsia"/>
                <w:color w:val="000000"/>
                <w:szCs w:val="22"/>
              </w:rPr>
              <w:t>措施來因應氣候變遷所帶來的影響。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)</w:t>
            </w:r>
          </w:p>
          <w:p w:rsidR="00644ADB" w:rsidRPr="00D94E9F" w:rsidRDefault="00D94E9F" w:rsidP="00D94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2.</w:t>
            </w:r>
            <w:r w:rsidR="00644ADB" w:rsidRPr="00D94E9F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="00644ADB" w:rsidRPr="00D94E9F">
              <w:rPr>
                <w:rFonts w:ascii="標楷體" w:eastAsia="標楷體" w:hAnsi="標楷體" w:cs="標楷體"/>
                <w:color w:val="000000"/>
              </w:rPr>
              <w:t>21</w:t>
            </w:r>
            <w:r w:rsidR="00644ADB" w:rsidRPr="00D94E9F">
              <w:rPr>
                <w:rFonts w:ascii="標楷體" w:eastAsia="標楷體" w:hAnsi="標楷體" w:cs="標楷體" w:hint="eastAsia"/>
                <w:color w:val="000000"/>
              </w:rPr>
              <w:t>學習單。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ADB" w:rsidRDefault="009D3498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644ADB"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  <w:p w:rsidR="00400C19" w:rsidRDefault="00400C19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口頭提問:舉例兩個不同國家因應氣候變遷的</w:t>
            </w:r>
            <w:r w:rsidR="002C3FF1">
              <w:rPr>
                <w:rFonts w:ascii="標楷體" w:eastAsia="標楷體" w:hAnsi="標楷體" w:cs="標楷體" w:hint="eastAsia"/>
                <w:color w:val="000000"/>
              </w:rPr>
              <w:t>減緩措施。</w:t>
            </w:r>
          </w:p>
        </w:tc>
      </w:tr>
      <w:tr w:rsidR="00644ADB" w:rsidRPr="00D94E9F" w:rsidTr="000D467C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11-13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Pr="00D94E9F" w:rsidRDefault="00644ADB" w:rsidP="00DF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天然災害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DB" w:rsidRPr="00D94E9F" w:rsidRDefault="00D94E9F" w:rsidP="00644ADB">
            <w:pPr>
              <w:pStyle w:val="ab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用科學閱讀認知策略</w:t>
            </w:r>
            <w:r w:rsidR="00644ADB"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分析文本:</w:t>
            </w:r>
          </w:p>
          <w:p w:rsidR="00644ADB" w:rsidRPr="00D94E9F" w:rsidRDefault="00644ADB" w:rsidP="00644ADB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2779ED">
              <w:rPr>
                <w:rFonts w:ascii="標楷體" w:eastAsia="標楷體" w:hAnsi="標楷體" w:cs="標楷體" w:hint="eastAsia"/>
                <w:color w:val="000000"/>
                <w:szCs w:val="22"/>
              </w:rPr>
              <w:t>以各國發生的天然災害為例，認識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天然災害對人類生活的衝擊與因應。)</w:t>
            </w:r>
          </w:p>
          <w:p w:rsidR="00644ADB" w:rsidRPr="00D94E9F" w:rsidRDefault="00644ADB" w:rsidP="00644ADB">
            <w:pPr>
              <w:pStyle w:val="ab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D94E9F">
              <w:rPr>
                <w:rFonts w:ascii="標楷體" w:eastAsia="標楷體" w:hAnsi="標楷體" w:cs="標楷體"/>
                <w:color w:val="000000"/>
                <w:szCs w:val="22"/>
              </w:rPr>
              <w:t>21</w:t>
            </w:r>
            <w:r w:rsidRPr="00D94E9F">
              <w:rPr>
                <w:rFonts w:ascii="標楷體" w:eastAsia="標楷體" w:hAnsi="標楷體" w:cs="標楷體" w:hint="eastAsia"/>
                <w:color w:val="000000"/>
                <w:szCs w:val="22"/>
              </w:rPr>
              <w:t>學習單。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ADB" w:rsidRDefault="009D3498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644ADB"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  <w:p w:rsidR="002C3FF1" w:rsidRDefault="002C3FF1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口頭提問:說明某特定天然災害對人類生活的衝擊面向。</w:t>
            </w:r>
          </w:p>
        </w:tc>
      </w:tr>
      <w:tr w:rsidR="00644ADB" w:rsidRPr="00D94E9F" w:rsidTr="000D467C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14-15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文本分析與口頭報告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DB" w:rsidRPr="001571C5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 w:rsidRPr="001571C5">
              <w:rPr>
                <w:rFonts w:ascii="標楷體" w:eastAsia="標楷體" w:hAnsi="標楷體" w:cs="標楷體" w:hint="eastAsia"/>
                <w:color w:val="000000"/>
              </w:rPr>
              <w:t>學生分組進行文本搜尋與分析。</w:t>
            </w:r>
          </w:p>
          <w:p w:rsidR="00644ADB" w:rsidRPr="001571C5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 w:rsidRPr="001571C5">
              <w:rPr>
                <w:rFonts w:ascii="標楷體" w:eastAsia="標楷體" w:hAnsi="標楷體" w:cs="標楷體" w:hint="eastAsia"/>
                <w:color w:val="000000"/>
              </w:rPr>
              <w:t>口頭報告與回饋。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報告</w:t>
            </w:r>
          </w:p>
        </w:tc>
      </w:tr>
      <w:tr w:rsidR="00644ADB" w:rsidRPr="00D94E9F" w:rsidTr="00E375F4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/>
                <w:color w:val="000000"/>
              </w:rPr>
              <w:t>16-18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會考後活動</w:t>
            </w:r>
          </w:p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科學英文新聞閱讀與跟讀練習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1科學英文新聞閱讀。</w:t>
            </w:r>
          </w:p>
          <w:p w:rsidR="00644ADB" w:rsidRPr="00D94E9F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D94E9F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4E9F">
              <w:rPr>
                <w:rFonts w:ascii="標楷體" w:eastAsia="標楷體" w:hAnsi="標楷體" w:cs="標楷體"/>
                <w:color w:val="000000"/>
              </w:rPr>
              <w:t>.</w:t>
            </w:r>
            <w:r w:rsidRPr="00D94E9F">
              <w:rPr>
                <w:rFonts w:ascii="標楷體" w:eastAsia="標楷體" w:hAnsi="標楷體" w:cs="標楷體" w:hint="eastAsia"/>
                <w:color w:val="000000"/>
              </w:rPr>
              <w:t>跟讀練習。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</w:tc>
      </w:tr>
      <w:tr w:rsidR="00644ADB" w:rsidTr="000D467C">
        <w:trPr>
          <w:trHeight w:val="105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議題融入實質內涵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應適切結合單元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主題內容融入相關議題。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議題融入實質內涵請參閱</w:t>
            </w:r>
            <w:hyperlink r:id="rId8">
              <w:r>
                <w:rPr>
                  <w:rFonts w:ascii="新細明體" w:eastAsia="新細明體" w:hAnsi="新細明體" w:cs="新細明體" w:hint="eastAsia"/>
                  <w:color w:val="000000"/>
                  <w:sz w:val="20"/>
                  <w:szCs w:val="20"/>
                  <w:u w:val="single"/>
                </w:rPr>
                <w:t>議題融入說明手冊</w:t>
              </w:r>
            </w:hyperlink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國家教育研究院，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109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月版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</w:rPr>
              <w:t>閱讀素養</w:t>
            </w:r>
          </w:p>
          <w:p w:rsidR="00644ADB" w:rsidRPr="00026EBD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 w:rsidRPr="00990A03">
              <w:rPr>
                <w:rFonts w:hint="eastAsia"/>
                <w:color w:val="000000"/>
              </w:rPr>
              <w:t>閱</w:t>
            </w:r>
            <w:r w:rsidRPr="00990A03">
              <w:rPr>
                <w:rFonts w:hint="eastAsia"/>
                <w:color w:val="000000"/>
              </w:rPr>
              <w:t xml:space="preserve"> J9 </w:t>
            </w:r>
            <w:r w:rsidRPr="00990A03">
              <w:rPr>
                <w:rFonts w:hint="eastAsia"/>
                <w:color w:val="000000"/>
              </w:rPr>
              <w:t>樂於參與閱讀相關的學習活動，並與他人交流。</w:t>
            </w:r>
            <w:r w:rsidRPr="00990A03">
              <w:rPr>
                <w:color w:val="000000"/>
              </w:rPr>
              <w:cr/>
            </w:r>
            <w:r w:rsidRPr="005853F4">
              <w:rPr>
                <w:rFonts w:hint="eastAsia"/>
                <w:color w:val="000000"/>
              </w:rPr>
              <w:t>閱</w:t>
            </w:r>
            <w:r w:rsidRPr="005853F4">
              <w:rPr>
                <w:rFonts w:hint="eastAsia"/>
                <w:color w:val="000000"/>
              </w:rPr>
              <w:t xml:space="preserve"> J3 </w:t>
            </w:r>
            <w:r w:rsidRPr="005853F4">
              <w:rPr>
                <w:rFonts w:hint="eastAsia"/>
                <w:color w:val="000000"/>
              </w:rPr>
              <w:t>理解學科知識內的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重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要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詞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彙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的意涵，並懂得如何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運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用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該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詞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彙與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他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人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進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行</w:t>
            </w:r>
            <w:r w:rsidRPr="005853F4">
              <w:rPr>
                <w:rFonts w:hint="eastAsia"/>
                <w:color w:val="000000"/>
              </w:rPr>
              <w:t xml:space="preserve"> </w:t>
            </w:r>
            <w:r w:rsidRPr="005853F4">
              <w:rPr>
                <w:rFonts w:hint="eastAsia"/>
                <w:color w:val="000000"/>
              </w:rPr>
              <w:t>溝通。</w:t>
            </w:r>
          </w:p>
        </w:tc>
      </w:tr>
      <w:tr w:rsidR="00644ADB" w:rsidTr="000D467C">
        <w:trPr>
          <w:trHeight w:val="96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44ADB" w:rsidRPr="00456719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新細明體" w:eastAsia="新細明體" w:hAnsi="新細明體"/>
                <w:szCs w:val="24"/>
              </w:rPr>
            </w:pPr>
            <w:r w:rsidRPr="00736D2C">
              <w:rPr>
                <w:rFonts w:eastAsia="標楷體"/>
                <w:szCs w:val="24"/>
              </w:rPr>
              <w:t>課堂參與度</w:t>
            </w:r>
            <w:r w:rsidRPr="00736D2C">
              <w:rPr>
                <w:rFonts w:eastAsia="標楷體"/>
                <w:szCs w:val="24"/>
              </w:rPr>
              <w:t>(</w:t>
            </w:r>
            <w:r w:rsidRPr="00736D2C">
              <w:rPr>
                <w:rFonts w:eastAsia="標楷體"/>
                <w:szCs w:val="24"/>
              </w:rPr>
              <w:t>師生互動</w:t>
            </w:r>
            <w:r w:rsidRPr="00736D2C">
              <w:rPr>
                <w:rFonts w:eastAsia="標楷體" w:hint="eastAsia"/>
                <w:szCs w:val="24"/>
              </w:rPr>
              <w:t>、團隊合作</w:t>
            </w:r>
            <w:r w:rsidRPr="00736D2C"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3</w:t>
            </w:r>
            <w:r w:rsidRPr="00736D2C">
              <w:rPr>
                <w:rFonts w:eastAsia="標楷體"/>
                <w:szCs w:val="24"/>
              </w:rPr>
              <w:t>0%</w:t>
            </w:r>
            <w:r w:rsidRPr="00736D2C">
              <w:rPr>
                <w:rFonts w:eastAsia="標楷體"/>
                <w:szCs w:val="24"/>
              </w:rPr>
              <w:t>、學習單</w:t>
            </w:r>
            <w:r>
              <w:rPr>
                <w:rFonts w:eastAsia="標楷體"/>
                <w:szCs w:val="24"/>
              </w:rPr>
              <w:t>4</w:t>
            </w:r>
            <w:r w:rsidRPr="00736D2C">
              <w:rPr>
                <w:rFonts w:eastAsia="標楷體"/>
                <w:szCs w:val="24"/>
              </w:rPr>
              <w:t>0%</w:t>
            </w:r>
            <w:r w:rsidRPr="00736D2C">
              <w:rPr>
                <w:rFonts w:eastAsia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口頭報告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0</w:t>
            </w:r>
            <w:r w:rsidRPr="00736D2C">
              <w:rPr>
                <w:rFonts w:eastAsia="標楷體"/>
                <w:szCs w:val="24"/>
              </w:rPr>
              <w:t>%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</w:tr>
      <w:tr w:rsidR="00644ADB" w:rsidTr="000D467C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6C40F5">
              <w:rPr>
                <w:rFonts w:ascii="標楷體" w:eastAsia="標楷體" w:hAnsi="標楷體" w:cs="標楷體" w:hint="eastAsia"/>
                <w:color w:val="000000"/>
              </w:rPr>
              <w:t>筆電、投影器材</w:t>
            </w:r>
          </w:p>
        </w:tc>
      </w:tr>
      <w:tr w:rsidR="00644ADB" w:rsidTr="000D467C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</w:rPr>
              <w:t>自編教材。</w:t>
            </w:r>
          </w:p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Pr="00584B14">
              <w:rPr>
                <w:rFonts w:ascii="標楷體" w:eastAsia="標楷體" w:hAnsi="標楷體" w:cs="標楷體" w:hint="eastAsia"/>
                <w:color w:val="000000"/>
              </w:rPr>
              <w:t>網路資源</w:t>
            </w:r>
            <w:r>
              <w:rPr>
                <w:rFonts w:ascii="標楷體" w:eastAsia="標楷體" w:hAnsi="標楷體" w:cs="標楷體" w:hint="eastAsia"/>
                <w:color w:val="000000"/>
              </w:rPr>
              <w:t>:B</w:t>
            </w:r>
            <w:r>
              <w:rPr>
                <w:rFonts w:ascii="標楷體" w:eastAsia="標楷體" w:hAnsi="標楷體" w:cs="標楷體"/>
                <w:color w:val="000000"/>
              </w:rPr>
              <w:t>BC NEWS</w:t>
            </w:r>
            <w:r w:rsidRPr="00584B14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</w:rPr>
              <w:t>C</w:t>
            </w:r>
            <w:r>
              <w:rPr>
                <w:rFonts w:ascii="標楷體" w:eastAsia="標楷體" w:hAnsi="標楷體" w:cs="標楷體"/>
                <w:color w:val="000000"/>
              </w:rPr>
              <w:t>NN</w:t>
            </w:r>
            <w:r w:rsidRPr="00584B14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</w:rPr>
              <w:t>民事新聞英文</w:t>
            </w:r>
            <w:r w:rsidRPr="00584B14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</w:rPr>
              <w:t>國家地理頻道。</w:t>
            </w:r>
          </w:p>
          <w:p w:rsidR="0061205B" w:rsidRDefault="006F66F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61205B">
              <w:t xml:space="preserve"> </w:t>
            </w:r>
            <w:r w:rsidR="0061205B" w:rsidRPr="0061205B">
              <w:rPr>
                <w:rFonts w:ascii="標楷體" w:eastAsia="標楷體" w:hAnsi="標楷體" w:cs="標楷體"/>
                <w:color w:val="000000"/>
              </w:rPr>
              <w:t xml:space="preserve">The 3-2-1 </w:t>
            </w:r>
            <w:r w:rsidR="0061205B">
              <w:rPr>
                <w:rFonts w:ascii="標楷體" w:eastAsia="標楷體" w:hAnsi="標楷體" w:cs="標楷體"/>
                <w:color w:val="000000"/>
              </w:rPr>
              <w:t xml:space="preserve">learning </w:t>
            </w:r>
            <w:r w:rsidR="0061205B" w:rsidRPr="0061205B">
              <w:rPr>
                <w:rFonts w:ascii="標楷體" w:eastAsia="標楷體" w:hAnsi="標楷體" w:cs="標楷體"/>
                <w:color w:val="000000"/>
              </w:rPr>
              <w:t>Strategy For Critical Thinking</w:t>
            </w:r>
          </w:p>
          <w:p w:rsidR="006F66FB" w:rsidRDefault="006F66F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t xml:space="preserve"> </w:t>
            </w:r>
            <w:hyperlink r:id="rId9" w:history="1">
              <w:r w:rsidR="0061205B" w:rsidRPr="00F76674">
                <w:rPr>
                  <w:rStyle w:val="aff4"/>
                  <w:rFonts w:ascii="標楷體" w:eastAsia="標楷體" w:hAnsi="標楷體" w:cs="標楷體"/>
                </w:rPr>
                <w:t>https://www.teachthought.com/critical-thinking/3-2-1-strategy/</w:t>
              </w:r>
            </w:hyperlink>
          </w:p>
          <w:p w:rsidR="0061205B" w:rsidRPr="0061205B" w:rsidRDefault="0061205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736D2C">
              <w:rPr>
                <w:rFonts w:eastAsia="標楷體"/>
              </w:rPr>
              <w:t>校內</w:t>
            </w:r>
            <w:r w:rsidRPr="00736D2C">
              <w:rPr>
                <w:rFonts w:eastAsia="標楷體" w:hint="eastAsia"/>
              </w:rPr>
              <w:t>自然科</w:t>
            </w:r>
            <w:r w:rsidRPr="00736D2C">
              <w:rPr>
                <w:rFonts w:eastAsia="標楷體"/>
              </w:rPr>
              <w:t>教師</w:t>
            </w:r>
          </w:p>
        </w:tc>
      </w:tr>
      <w:tr w:rsidR="00644ADB" w:rsidTr="000D467C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DB" w:rsidRDefault="00644ADB" w:rsidP="0064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676A8" w:rsidRDefault="00F676A8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F676A8" w:rsidSect="00D813C1">
      <w:footerReference w:type="default" r:id="rId10"/>
      <w:pgSz w:w="23814" w:h="16839" w:orient="landscape" w:code="8"/>
      <w:pgMar w:top="1134" w:right="1440" w:bottom="991" w:left="1440" w:header="720" w:footer="72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055" w:rsidRDefault="00581055">
      <w:r>
        <w:separator/>
      </w:r>
    </w:p>
  </w:endnote>
  <w:endnote w:type="continuationSeparator" w:id="0">
    <w:p w:rsidR="00581055" w:rsidRDefault="0058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D813C1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055" w:rsidRDefault="00581055">
      <w:r>
        <w:separator/>
      </w:r>
    </w:p>
  </w:footnote>
  <w:footnote w:type="continuationSeparator" w:id="0">
    <w:p w:rsidR="00581055" w:rsidRDefault="00581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F9"/>
    <w:multiLevelType w:val="hybridMultilevel"/>
    <w:tmpl w:val="39FE56DE"/>
    <w:lvl w:ilvl="0" w:tplc="DEB2CD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66C1B"/>
    <w:multiLevelType w:val="hybridMultilevel"/>
    <w:tmpl w:val="178A71CC"/>
    <w:lvl w:ilvl="0" w:tplc="EE92F3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796E42"/>
    <w:multiLevelType w:val="hybridMultilevel"/>
    <w:tmpl w:val="6588A556"/>
    <w:lvl w:ilvl="0" w:tplc="838610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E3C46"/>
    <w:multiLevelType w:val="hybridMultilevel"/>
    <w:tmpl w:val="EE62C436"/>
    <w:lvl w:ilvl="0" w:tplc="8D3EE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B16F6"/>
    <w:multiLevelType w:val="hybridMultilevel"/>
    <w:tmpl w:val="289C4FFC"/>
    <w:lvl w:ilvl="0" w:tplc="3DAE8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31667D"/>
    <w:multiLevelType w:val="hybridMultilevel"/>
    <w:tmpl w:val="F8266C26"/>
    <w:lvl w:ilvl="0" w:tplc="92D20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CD0308"/>
    <w:multiLevelType w:val="hybridMultilevel"/>
    <w:tmpl w:val="A89A9752"/>
    <w:lvl w:ilvl="0" w:tplc="BFDAA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CB2E29"/>
    <w:multiLevelType w:val="hybridMultilevel"/>
    <w:tmpl w:val="14CAFEE0"/>
    <w:lvl w:ilvl="0" w:tplc="74E4E974">
      <w:start w:val="1"/>
      <w:numFmt w:val="decimal"/>
      <w:lvlText w:val="%1."/>
      <w:lvlJc w:val="left"/>
      <w:pPr>
        <w:ind w:left="50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9" w15:restartNumberingAfterBreak="0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F5A13EF"/>
    <w:multiLevelType w:val="hybridMultilevel"/>
    <w:tmpl w:val="CF9E600C"/>
    <w:lvl w:ilvl="0" w:tplc="B27234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000C9A"/>
    <w:multiLevelType w:val="hybridMultilevel"/>
    <w:tmpl w:val="751E8E3E"/>
    <w:lvl w:ilvl="0" w:tplc="8384C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A8"/>
    <w:rsid w:val="00026EBD"/>
    <w:rsid w:val="0005245F"/>
    <w:rsid w:val="000771B2"/>
    <w:rsid w:val="000A0F03"/>
    <w:rsid w:val="000D467C"/>
    <w:rsid w:val="000E2655"/>
    <w:rsid w:val="000E46C2"/>
    <w:rsid w:val="00116C38"/>
    <w:rsid w:val="00144BAE"/>
    <w:rsid w:val="00144BB5"/>
    <w:rsid w:val="00152E7B"/>
    <w:rsid w:val="001571C5"/>
    <w:rsid w:val="00171AB8"/>
    <w:rsid w:val="001F5E3F"/>
    <w:rsid w:val="001F7F38"/>
    <w:rsid w:val="00207FD7"/>
    <w:rsid w:val="002454E0"/>
    <w:rsid w:val="002779ED"/>
    <w:rsid w:val="002A1668"/>
    <w:rsid w:val="002B006C"/>
    <w:rsid w:val="002C3FF1"/>
    <w:rsid w:val="002C4585"/>
    <w:rsid w:val="002C66E3"/>
    <w:rsid w:val="00321C38"/>
    <w:rsid w:val="00324B0A"/>
    <w:rsid w:val="00394F94"/>
    <w:rsid w:val="003A46E5"/>
    <w:rsid w:val="00400C19"/>
    <w:rsid w:val="00456719"/>
    <w:rsid w:val="004748EE"/>
    <w:rsid w:val="004D16AA"/>
    <w:rsid w:val="005511BA"/>
    <w:rsid w:val="005747DD"/>
    <w:rsid w:val="00581055"/>
    <w:rsid w:val="005853F4"/>
    <w:rsid w:val="005B55FF"/>
    <w:rsid w:val="0061205B"/>
    <w:rsid w:val="00644ADB"/>
    <w:rsid w:val="006A78CC"/>
    <w:rsid w:val="006F66FB"/>
    <w:rsid w:val="007523F2"/>
    <w:rsid w:val="00775031"/>
    <w:rsid w:val="007B4817"/>
    <w:rsid w:val="007B5694"/>
    <w:rsid w:val="007E5A3D"/>
    <w:rsid w:val="00805F1D"/>
    <w:rsid w:val="008379FF"/>
    <w:rsid w:val="008800D8"/>
    <w:rsid w:val="008D59A7"/>
    <w:rsid w:val="00901CFE"/>
    <w:rsid w:val="009372AE"/>
    <w:rsid w:val="00940807"/>
    <w:rsid w:val="009426F6"/>
    <w:rsid w:val="00990A03"/>
    <w:rsid w:val="009A2CD9"/>
    <w:rsid w:val="009C29CE"/>
    <w:rsid w:val="009D10C0"/>
    <w:rsid w:val="009D3498"/>
    <w:rsid w:val="00A6556F"/>
    <w:rsid w:val="00A73D8A"/>
    <w:rsid w:val="00AD0277"/>
    <w:rsid w:val="00AD6018"/>
    <w:rsid w:val="00B46B96"/>
    <w:rsid w:val="00B73880"/>
    <w:rsid w:val="00B91E35"/>
    <w:rsid w:val="00B9658C"/>
    <w:rsid w:val="00BA6EB7"/>
    <w:rsid w:val="00BC11EC"/>
    <w:rsid w:val="00C004CD"/>
    <w:rsid w:val="00C0499D"/>
    <w:rsid w:val="00C249A0"/>
    <w:rsid w:val="00C3258B"/>
    <w:rsid w:val="00C561AA"/>
    <w:rsid w:val="00CA4E37"/>
    <w:rsid w:val="00D06D3F"/>
    <w:rsid w:val="00D13609"/>
    <w:rsid w:val="00D16FC8"/>
    <w:rsid w:val="00D32EF8"/>
    <w:rsid w:val="00D646C3"/>
    <w:rsid w:val="00D813C1"/>
    <w:rsid w:val="00D82D23"/>
    <w:rsid w:val="00D94E9F"/>
    <w:rsid w:val="00DF6A83"/>
    <w:rsid w:val="00E134F6"/>
    <w:rsid w:val="00E375F4"/>
    <w:rsid w:val="00E639D3"/>
    <w:rsid w:val="00E80C02"/>
    <w:rsid w:val="00EA4EE4"/>
    <w:rsid w:val="00F64673"/>
    <w:rsid w:val="00F676A8"/>
    <w:rsid w:val="00F715BA"/>
    <w:rsid w:val="00F760C2"/>
    <w:rsid w:val="00F767E1"/>
    <w:rsid w:val="00F9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696766-99EB-4795-A5B5-300D7E8B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項目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  <w:style w:type="character" w:styleId="afffff7">
    <w:name w:val="Unresolved Mention"/>
    <w:basedOn w:val="a1"/>
    <w:uiPriority w:val="99"/>
    <w:semiHidden/>
    <w:unhideWhenUsed/>
    <w:rsid w:val="0061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.edu.tw/upload/1/16/doc/2027/%E8%AD%B0%E9%A1%8C%E8%9E%8D%E5%85%A5%E8%AA%AA%E6%98%8E%E6%89%8B%E5%86%8A(%E5%AE%9A%E7%A8%BF%E7%89%88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eachthought.com/critical-thinking/3-2-1-strateg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t017吳明真</dc:creator>
  <cp:lastModifiedBy>實研組長</cp:lastModifiedBy>
  <cp:revision>76</cp:revision>
  <dcterms:created xsi:type="dcterms:W3CDTF">2022-04-06T06:55:00Z</dcterms:created>
  <dcterms:modified xsi:type="dcterms:W3CDTF">2022-06-14T23:43:00Z</dcterms:modified>
</cp:coreProperties>
</file>