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48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臺北市立萬芳高級中學(國中部)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學年度領域/科目課程計畫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48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4.0" w:type="dxa"/>
        <w:jc w:val="center"/>
        <w:tblLayout w:type="fixed"/>
        <w:tblLook w:val="0000"/>
      </w:tblPr>
      <w:tblGrid>
        <w:gridCol w:w="624"/>
        <w:gridCol w:w="1276"/>
        <w:gridCol w:w="1367"/>
        <w:gridCol w:w="3402"/>
        <w:gridCol w:w="709"/>
        <w:gridCol w:w="2693"/>
        <w:gridCol w:w="1559"/>
        <w:gridCol w:w="2305"/>
        <w:gridCol w:w="1599"/>
        <w:tblGridChange w:id="0">
          <w:tblGrid>
            <w:gridCol w:w="624"/>
            <w:gridCol w:w="1276"/>
            <w:gridCol w:w="1367"/>
            <w:gridCol w:w="3402"/>
            <w:gridCol w:w="709"/>
            <w:gridCol w:w="2693"/>
            <w:gridCol w:w="1559"/>
            <w:gridCol w:w="2305"/>
            <w:gridCol w:w="1599"/>
          </w:tblGrid>
        </w:tblGridChange>
      </w:tblGrid>
      <w:tr>
        <w:trPr>
          <w:trHeight w:val="6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□藝術(□音樂□視覺藝術□表演藝術)□綜合活動(□家政□童軍□輔導)□科技(□資訊科技□生活科技)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■健康與體育(■健康教育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trHeight w:val="6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■7年級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■選用教科書:康軒版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1 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健體-J-A1 具備體育與健康的知能與態度，展現自我運動與保 健潛能，探索人性、自我價值與生命意義，並積極實踐，不輕言放棄。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健體-J-A2 具備理解體育與 健康情境的全貌，並做獨立思考與分析的知能，進而運用適當的策略，處理與解決體 育與健康的問題。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健體-J-A3 具備善用體育與 健康的資源，以擬定運動與保健計畫，有效執行並發揮主動學習與創新求變的能力。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健體-J-B1 具備情意表達的能力，能以同理心與人溝通互動，並理解體育與保健的基本概念，應用於日常生活中。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健體-J-B2 具備善用體育與 健康相關的科技、資訊及媒體， 以增進學習的素養，並察覺、思辨人與科技、資訊、媒體的互動關係。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健體-J-B3 具備審美與表現的能力，了解運動與健康在美學上的特質與表現方式，以增進生活中 的豐富性與美感 體驗。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健體-J-C1 具備生活中有關 運動與健康的道德思辨與實踐能 力及環境意識，並主動參與公益團體活動，關懷社會。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健體-J-C2 具備利他及合群的知能與態度，並在體育活動和健康生活中培育相 互合作及與人和諧互動的素養。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健體-J-C3 具備敏察和接納多元文化的涵養，關心本土與國際體育與健康議題，並尊重與欣賞其間的差異。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上學期：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1.探討健康的內涵，採取正確的自我照護，以提升整體健康水準。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2.了解青春期身心需求及學會調適身心變化。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3.建立自我概念，培養自我悅納的態度，積極實現自我。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下學期：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1.能理解各種傳染病的病原體、傳染途徑、症狀及預防方法。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2.認識健保的意義及一般民眾應有的權利與義務。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3.了解從事醫療消費時應注意的事項。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4.培養維護身體健康的醫療觀念及態度。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5.了解使用成癮物質菸、酒、檳榔對人體心理、生理及社會各健康層面造成的衝擊與風險。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6.面對菸、酒、檳榔的訊息與觀點，能進行批判性思考並做出有利健康的決定。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7.關注菸、酒、檳榔國內法律規範現況與未來趨勢。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8.利用情境演練生活技能，能主動公開表達個人拒絕菸、酒、檳榔立場。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49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4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trHeight w:val="782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5D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一</w:t>
                </w:r>
              </w:sdtContent>
            </w:sdt>
          </w:p>
          <w:p w:rsidR="00000000" w:rsidDel="00000000" w:rsidP="00000000" w:rsidRDefault="00000000" w:rsidRPr="00000000" w14:paraId="0000005E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5F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健康青春向前行</w:t>
              <w:tab/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第1章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健康人生開步走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1a-Ⅳ-1:理解生理、心理與社會各層面健康的概念。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4a-Ⅳ-2:自我監督、增強個人促進健康的行動，並反省修正。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Aa-Ⅳ-1:生長發育的自我評估與因應策略。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Da-Ⅳ-2:身體各系統、器官的構造與功能。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Fa-Ⅳ-3:有利人際關係的因素與有效的溝通技巧。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人J5:了解社會上有不同的群體和文化，尊重並欣賞其差異。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健康青春向前行</w:t>
              <w:tab/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第1章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健康人生開步走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1a-Ⅳ-1:理解生理、心理與社會各層面健康的概念。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4a-Ⅳ-2:自我監督、增強個人促進健康的行動，並反省修正。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Aa-Ⅳ-1:生長發育的自我評估與因應策略。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Da-Ⅳ-2:身體各系統、器官的構造與功能。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Fa-Ⅳ-3:有利人際關係的因素與有效的溝通技巧。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人J5:了解社會上有不同的群體和文化，尊重並欣賞其差異。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第5-6週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健康青春向前行第2章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個人衛生與保健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1b-Ⅳ-2:認識健康技能和生活技能的實施程序概念。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3a-Ⅳ-1:精熟地操作健康技能。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Da-Ⅳ-1:衛生保健習慣的實踐方式與管理策略。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Da-Ⅳ-2:身體各系統、器官的構造與功能。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Da-Ⅳ-3:視力、口腔保健策略與相關疾病。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性J4:認識身體自主權相關議題，維護自己與尊重他人的身體自主權。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第7-9週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健康青春向前行第2章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個人衛生與保健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1b-Ⅳ-2:認識健康技能和生活技能的實施程序概念。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3a-Ⅳ-1:精熟地操作健康技能。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Da-Ⅳ-1:衛生保健習慣的實踐方式與管理策略。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Da-Ⅳ-2:身體各系統、器官的構造與功能。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Da-Ⅳ-3:視力、口腔保健策略與相關疾病。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性J4:認識身體自主權相關議題，維護自己與尊重他人的身體自主權。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第10-12週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健康青春向前行第3章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我的青春檔案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1b-Ⅳ-3:因應生活情境的健康需求，尋求解決的健康技能和生活技能。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4a-Ⅳ-1:運用適切的健康資訊、產品與服務，擬定健康行動策略。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Db-Ⅳ-1:生殖器官的構造、功能與保健及懷孕生理、優生保健。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Da-Ⅳ-4:健康姿勢、規律運動、充分睡眠的維持與實踐策略。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Db-Ⅳ-2:青春期身心變化的調適與性衝動健康因應的策略。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性J11:去除性別刻板與性別偏見的情感表達與溝通，具備與他人平等互動的能力。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健康青春向前行第3章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我的青春檔案(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第二次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定期考查)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1b-Ⅳ-3:因應生活情境的健康需求，尋求解決的健康技能和生活技能。</w:t>
            </w:r>
          </w:p>
          <w:p w:rsidR="00000000" w:rsidDel="00000000" w:rsidP="00000000" w:rsidRDefault="00000000" w:rsidRPr="00000000" w14:paraId="000000BF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0C0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0C1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4a-Ⅳ-1:運用適切的健康資訊、產品與服務，擬定健康行動策略。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Db-Ⅳ-1:生殖器官的構造、功能與保健及懷孕生理、優生保健。</w:t>
            </w:r>
          </w:p>
          <w:p w:rsidR="00000000" w:rsidDel="00000000" w:rsidP="00000000" w:rsidRDefault="00000000" w:rsidRPr="00000000" w14:paraId="000000C3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Da-Ⅳ-4:健康姿勢、規律運動、充分睡眠的維持與實踐策略。</w:t>
            </w:r>
          </w:p>
          <w:p w:rsidR="00000000" w:rsidDel="00000000" w:rsidP="00000000" w:rsidRDefault="00000000" w:rsidRPr="00000000" w14:paraId="000000C4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Db-Ⅳ-2:青春期身心變化的調適與性衝動健康因應的策略。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C7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C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性J11:去除性別刻板與性別偏見的情感表達與溝通，具備與他人平等互動的能力。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健康青春向前行第3章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我的青春檔案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1b-Ⅳ-3:因應生活情境的健康需求，尋求解決的健康技能和生活技能。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4a-Ⅳ-1:運用適切的健康資訊、產品與服務，擬定健康行動策略。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Db-Ⅳ-1:生殖器官的構造、功能與保健及懷孕生理、優生保健。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Da-Ⅳ-4:健康姿勢、規律運動、充分睡眠的維持與實踐策略。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Db-Ⅳ-2:青春期身心變化的調適與性衝動健康因應的策略。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性J11:去除性別刻板與性別偏見的情感表達與溝通，具備與他人平等互動的能力。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第17-19週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健康青春向前行第4章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活出青春的光彩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3b-Ⅳ-1:熟悉各種自我調適技能。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Fa-Ⅳ-1:自我認同與自我實現。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涯J3:覺察自己的能力與興趣。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涯J4:了解自己的人格特質與價值觀。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涯J6:建立對於未來生涯的願景。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健康青春向前行第4章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活出青春的光彩(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第三次定期考查)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0F4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0F5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3b-Ⅳ-1:熟悉各種自我調適技能。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Fa-Ⅳ-1:自我認同與自我實現。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F9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F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涯J3:覺察自己的能力與興趣。</w:t>
            </w:r>
          </w:p>
          <w:p w:rsidR="00000000" w:rsidDel="00000000" w:rsidP="00000000" w:rsidRDefault="00000000" w:rsidRPr="00000000" w14:paraId="000000F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涯J4:了解自己的人格特質與價值觀。</w:t>
            </w:r>
          </w:p>
          <w:p w:rsidR="00000000" w:rsidDel="00000000" w:rsidP="00000000" w:rsidRDefault="00000000" w:rsidRPr="00000000" w14:paraId="000000F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涯J6:建立對於未來生涯的願景。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39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00">
            <w:pPr>
              <w:spacing w:line="39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二</w:t>
                </w:r>
              </w:sdtContent>
            </w:sdt>
          </w:p>
          <w:p w:rsidR="00000000" w:rsidDel="00000000" w:rsidP="00000000" w:rsidRDefault="00000000" w:rsidRPr="00000000" w14:paraId="00000101">
            <w:pPr>
              <w:spacing w:line="39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102">
            <w:pPr>
              <w:spacing w:line="396" w:lineRule="auto"/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醫療消費面面觀第1章</w:t>
            </w:r>
          </w:p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傳染病的世界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1a-Ⅳ-2:分析個人與群體健康的影響因素。</w:t>
            </w:r>
          </w:p>
          <w:p w:rsidR="00000000" w:rsidDel="00000000" w:rsidP="00000000" w:rsidRDefault="00000000" w:rsidRPr="00000000" w14:paraId="00000109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2a-Ⅳ-1:關注健康議題本土、國際現況與趨勢。</w:t>
            </w:r>
          </w:p>
          <w:p w:rsidR="00000000" w:rsidDel="00000000" w:rsidP="00000000" w:rsidRDefault="00000000" w:rsidRPr="00000000" w14:paraId="0000010A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10B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4a-Ⅳ-2:自我監督、增強個人促進健康的行動，並反省修正。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Fb-Ⅳ-3:保護性的健康行為。</w:t>
            </w:r>
          </w:p>
          <w:p w:rsidR="00000000" w:rsidDel="00000000" w:rsidP="00000000" w:rsidRDefault="00000000" w:rsidRPr="00000000" w14:paraId="0000010D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Fb-Ⅳ-4:新興傳染病與慢性病的防治策略。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10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1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環J1:了解生物多樣性及環境承載力的重要性。</w:t>
            </w:r>
          </w:p>
          <w:p w:rsidR="00000000" w:rsidDel="00000000" w:rsidP="00000000" w:rsidRDefault="00000000" w:rsidRPr="00000000" w14:paraId="0000011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環J4:了解永續發展的意義（環境、社會、與經濟的均衡發展）與原則。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醫療消費面面觀第1章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傳染病的世界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1a-Ⅳ-2:分析個人與群體健康的影響因素。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2a-Ⅳ-1:關注健康議題本土、國際現況與趨勢。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4a-Ⅳ-2:自我監督、增強個人促進健康的行動，並反省修正。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Fb-Ⅳ-3:保護性的健康行為。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Fb-Ⅳ-4:新興傳染病與慢性病的防治策略。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環J1:了解生物多樣性及環境承載力的重要性。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環J4:了解永續發展的意義（環境、社會、與經濟的均衡發展）與原則。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第5-7週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醫療消費面面觀第2章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醫藥保衛戰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1a-Ⅳ-4:理解促進健康生活的策略、資源與規範。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3b-Ⅳ-3:熟悉大部分的決策與批判技能。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4a-Ⅳ-3:持續的執行促進健康及減少健康風險的行為。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Bb-Ⅳ-1:正確購買與使用藥品的行動策略。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Bb-Ⅳ-2:家庭、同儕、文化、媒體、廣告等傳達的藥品選購資訊。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Fb-Ⅳ-3:保護性的健康行為。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Fb-Ⅳ-5:全民健保與醫療制度、醫療服務與資源。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生J5:覺察生活中的各種迷思，在生活作息、健康促進、飲食運動、休閒娛樂、人我關係等課題上進行價值思辨，尋求解決之道。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第8-10週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第1單元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醫療消費面面觀第2章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醫藥保衛戰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1a-Ⅳ-4:理解促進健康生活的策略、資源與規範。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3b-Ⅳ-3:熟悉大部分的決策與批判技能。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4a-Ⅳ-3:持續的執行促進健康及減少健康風險的行為。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Bb-Ⅳ-1:正確購買與使用藥品的行動策略。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Bb-Ⅳ-2:家庭、同儕、文化、媒體、廣告等傳達的藥品選購資訊。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Fb-Ⅳ-3:保護性的健康行為。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Fb-Ⅳ-5:全民健保與醫療制度、醫療服務與資源。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生J5:覺察生活中的各種迷思，在生活作息、健康促進、飲食運動、休閒娛樂、人我關係等課題上進行價值思辨，尋求解決之道。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第11-12週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第2單元</w:t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為青春開一扇窗第1章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菸害現形記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2a-Ⅳ-1:關注健康議題本土、國際現況與趨勢。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3b-Ⅳ-3:熟悉大部分的決策與批判技能。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3b-Ⅳ-4:因應不同的生活情境，善用各種生活技能， 解決健康問題。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4b-Ⅳ-1:主動並公開表明個人對促進健康的觀點與立場。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Bb-Ⅳ-3:菸、酒、檳榔、藥物的成分與成癮性，以及對個人身心健康與家庭、社會的影響。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Bb-Ⅳ-4:面對成癮物質的拒絕技巧與自我控制。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法J3:認識法律之意義與制定。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第2單元</w:t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為青春開一扇窗第1章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菸害現形記(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第二次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定期考查)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167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2a-Ⅳ-1:關注健康議題本土、國際現況與趨勢。</w:t>
            </w:r>
          </w:p>
          <w:p w:rsidR="00000000" w:rsidDel="00000000" w:rsidP="00000000" w:rsidRDefault="00000000" w:rsidRPr="00000000" w14:paraId="00000168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3b-Ⅳ-3:熟悉大部分的決策與批判技能。</w:t>
            </w:r>
          </w:p>
          <w:p w:rsidR="00000000" w:rsidDel="00000000" w:rsidP="00000000" w:rsidRDefault="00000000" w:rsidRPr="00000000" w14:paraId="00000169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3b-Ⅳ-4:因應不同的生活情境，善用各種生活技能， 解決健康問題。</w:t>
            </w:r>
          </w:p>
          <w:p w:rsidR="00000000" w:rsidDel="00000000" w:rsidP="00000000" w:rsidRDefault="00000000" w:rsidRPr="00000000" w14:paraId="0000016A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4b-Ⅳ-1:主動並公開表明個人對促進健康的觀點與立場。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Bb-Ⅳ-3:菸、酒、檳榔、藥物的成分與成癮性，以及對個人身心健康與家庭、社會的影響。</w:t>
            </w:r>
          </w:p>
          <w:p w:rsidR="00000000" w:rsidDel="00000000" w:rsidP="00000000" w:rsidRDefault="00000000" w:rsidRPr="00000000" w14:paraId="0000016C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Bb-Ⅳ-4:面對成癮物質的拒絕技巧與自我控制。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6F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法J3:認識法律之意義與制定。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第2單元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為青春開一扇窗第2章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克癮制勝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2a-Ⅳ-1:關注健康議題本土、國際現況與趨勢。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3b-Ⅳ-4:因應不同的生活情境，善用各種生活技能，解決健康問題。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4b-Ⅳ-1:主動並公開表明個人對促進健康的觀點與立場。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Bb-Ⅳ-3:菸、酒、檳榔、藥物的成分與成癮性，以及對個人身心健康與家庭、社會的影響。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Bb-Ⅳ-4:面對成癮物質的拒絕技巧與自我控制。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法J3:認識法律之意義與制定。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第17-19週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第2單元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為青春開一扇窗第2章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克癮制勝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2a-Ⅳ-1:關注健康議題本土、國際現況與趨勢。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3b-Ⅳ-4:因應不同的生活情境，善用各種生活技能，解決健康問題。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4b-Ⅳ-1:主動並公開表明個人對促進健康的觀點與立場。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Bb-Ⅳ-3:菸、酒、檳榔、藥物的成分與成癮性，以及對個人身心健康與家庭、社會的影響。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Bb-Ⅳ-4:面對成癮物質的拒絕技巧與自我控制。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法J3:認識法律之意義與制定。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第2單元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為青春開一扇窗第2章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克癮制勝(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第三次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定期考查)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1A1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2a-Ⅳ-1:關注健康議題本土、國際現況與趨勢。</w:t>
            </w:r>
          </w:p>
          <w:p w:rsidR="00000000" w:rsidDel="00000000" w:rsidP="00000000" w:rsidRDefault="00000000" w:rsidRPr="00000000" w14:paraId="000001A2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1A3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3b-Ⅳ-4:因應不同的生活情境，善用各種生活技能，解決健康問題。</w:t>
            </w:r>
          </w:p>
          <w:p w:rsidR="00000000" w:rsidDel="00000000" w:rsidP="00000000" w:rsidRDefault="00000000" w:rsidRPr="00000000" w14:paraId="000001A4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4b-Ⅳ-1:主動並公開表明個人對促進健康的觀點與立場。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Bb-Ⅳ-3:菸、酒、檳榔、藥物的成分與成癮性，以及對個人身心健康與家庭、社會的影響。</w:t>
            </w:r>
          </w:p>
          <w:p w:rsidR="00000000" w:rsidDel="00000000" w:rsidP="00000000" w:rsidRDefault="00000000" w:rsidRPr="00000000" w14:paraId="000001A6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Bb-Ⅳ-4:面對成癮物質的拒絕技巧與自我控制。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A9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1AB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法J3:認識法律之意義與制定。</w:t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AF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PPT、單槍投影機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1"/>
        <w:spacing w:line="4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PMingLiu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0D5A31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styleId="1" w:customStyle="1">
    <w:name w:val="內文1"/>
    <w:rsid w:val="000D5A31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10" w:customStyle="1">
    <w:name w:val="預設段落字型1"/>
    <w:rsid w:val="000D5A31"/>
  </w:style>
  <w:style w:type="paragraph" w:styleId="a4">
    <w:name w:val="header"/>
    <w:basedOn w:val="a"/>
    <w:link w:val="a5"/>
    <w:uiPriority w:val="99"/>
    <w:unhideWhenUsed w:val="1"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5A5A17"/>
    <w:rPr>
      <w:rFonts w:ascii="Calibri" w:cs="Times New Roman" w:eastAsia="新細明體" w:hAnsi="Calibri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5A5A17"/>
    <w:rPr>
      <w:rFonts w:ascii="Calibri" w:cs="Times New Roman" w:eastAsia="新細明體" w:hAnsi="Calibri"/>
      <w:kern w:val="3"/>
      <w:sz w:val="20"/>
      <w:szCs w:val="20"/>
    </w:rPr>
  </w:style>
  <w:style w:type="paragraph" w:styleId="Web">
    <w:name w:val="Normal (Web)"/>
    <w:basedOn w:val="a"/>
    <w:uiPriority w:val="99"/>
    <w:unhideWhenUsed w:val="1"/>
    <w:rsid w:val="005012DA"/>
    <w:pPr>
      <w:widowControl w:val="1"/>
      <w:suppressAutoHyphens w:val="0"/>
      <w:autoSpaceDN w:val="1"/>
      <w:spacing w:after="100" w:afterAutospacing="1" w:before="100" w:beforeAutospacing="1"/>
      <w:textAlignment w:val="auto"/>
    </w:pPr>
    <w:rPr>
      <w:rFonts w:ascii="新細明體" w:cs="新細明體" w:hAnsi="新細明體"/>
      <w:kern w:val="0"/>
      <w:szCs w:val="24"/>
    </w:rPr>
  </w:style>
  <w:style w:type="paragraph" w:styleId="Default" w:customStyle="1">
    <w:name w:val="Default"/>
    <w:rsid w:val="005012DA"/>
    <w:pPr>
      <w:widowControl w:val="0"/>
      <w:suppressAutoHyphens w:val="1"/>
      <w:autoSpaceDE w:val="0"/>
      <w:autoSpaceDN w:val="0"/>
      <w:textAlignment w:val="baseline"/>
    </w:pPr>
    <w:rPr>
      <w:rFonts w:ascii="Times New Roman" w:cs="Times New Roman" w:eastAsia="新細明體" w:hAnsi="Times New Roman"/>
      <w:color w:val="000000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Cb+rwXpxdaH26OVwSZOW/SxxA==">AMUW2mUgyw80vd0/rIi8sTsvvts+k+XIlgE/DrOBtDfWsxPiOlN6FEh7/B+DZYMAHp0w+ZQoXWJgYRKb+0LzfVnDyFMniTnq8Mqj8ym0HuDtQ0pPeNINT66hfUGFFrLNH3NyDFebqOrwKOtlU3Lb13zAFvJ7U7G9r3LhTP+pYyLGDX1jWb+DzGb0RtC+a0hwUYJ8j0F1wvYBORLqmrzjlAN5VGDgf50nDgiPjdXpl1W+hmZLI+Pr1/Lr25O5gkDeE4lzRbA8s0PUp24wPG8HGsjtXED0EXsLTf25gkZu3sBK40gnNygICXJg+y409aIn/vccubbG3iEQRgK0vA0sp2PCbsqKS5vxImKG41hT3/qRVMq79hxZ83MLf7y94GMdJ3+P6sLiQZAEAWuMHt6ZJ2KctFeaaJVsgtbU/JBvs7sB8ngjvVW4CW14IkBR35a/wiWr0tCttZCcIsWXxNuDXFbwLzJ7FDyJylWOXNNEbtdoaJ5VBxQeOwNvYf0B+2QyRosghrtWKxyGETJFDs8NqwbSQtXgNsiCyt8HAz0utAJVGuF9TNJgqG2uhTQkmb8bczlDopqi4g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2021-05-31T07:28:00Z</dcterms:created>
  <dc:creator>t508許淳超</dc:creator>
</cp:coreProperties>
</file>